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SALINAN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MENTERI PENDIDIKAN NASIONAL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 INDONESIA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184/U/2001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TENTANG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PEDOMAN PENGAWASAN - PENGENDALIAN DAN PEMBINAAN PROGRAM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DIPLOMA, SARJANA DAN PASCASARJANA Dl PERGURUAN TINGGI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MENTERI PENDIDIKAN NASIONAL,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left="1701" w:hanging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Menimbang : a. bahwa perkembangan pendidikan tinggi menuntut adanya otonomi yang lebih luas sehingga proses pendidikan dapat dilaksanakan lebih efektif dan efisien;</w:t>
      </w:r>
    </w:p>
    <w:p w:rsidR="00531F9B" w:rsidRDefault="00531F9B" w:rsidP="00531F9B">
      <w:pPr>
        <w:pStyle w:val="HTMLPreformatted"/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bahwa pengelolaan perguruan tinggi dituntut memenuhi akuntabilitas baik kepada masyarakat maupun pemerintah;</w:t>
      </w:r>
    </w:p>
    <w:p w:rsidR="00531F9B" w:rsidRDefault="00531F9B" w:rsidP="00531F9B">
      <w:pPr>
        <w:pStyle w:val="HTMLPreformatted"/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bahwa sehubungan dengan itu dipandang perlu menetapkan Pedoman Pengawasan-Pengendalian dan Pembinaan Program Diploma, Sarjana, dan Pascasarjana di Perguruan Tinggi;</w:t>
      </w: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left="1701" w:hanging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Mengingat :  1. Undang-undang Nomor 2 Tahun 1989 tentang Sistem Pendidikan     Nasional (Lembaran Negara Tahun 1989 Nomor 6, Tambahan Lembaran Negara Nomor 3390);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Peraturan Pemerintah Republik Indonesia Nomor 60 Tahun 1999 (Lembaran Negara Tahun 1999 Nomor 115, Tambahan Lembaran Negara Nomor 3859);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Keputusan Presiden Republik Indonesia Nomor 177 Tahun 2000 tentang Susunan Organisasi dan Tata Kerja Departemen, sebagaimana telah diubah terakhir dengan Keputusan Presiden Republik Indonesia Nomor 82 Tahun 2001;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Keputusan Presiden Republik Indonesia Nomor 228/M Tahun 2001 mengenai pembentukan Kabinet Gotong Royong;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Keputusan Presiden Republik Indonesia Nomor 102 Tahun 2001 tentang Kedudukan, Tugas, Fungsi, Kewenangan, Susunan Organisasi dan Tata Kerja Departemen;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Keputusan Menteri Pendidikan Nasional Nomor 010/O/2000 tentang Organisasi dan Tata Kerja Departemen Pendidikan Nasional;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Keputusan Menteri Pendidikan Nasional Nomor 232/U/2000 tentang Pedoman Penyusunan Kurikulum Pendidikan Tinggi dan Penilaian Hasil Belajar Mahasiswa;</w:t>
      </w:r>
    </w:p>
    <w:p w:rsidR="00531F9B" w:rsidRDefault="00531F9B" w:rsidP="00531F9B">
      <w:pPr>
        <w:pStyle w:val="HTMLPreformatted"/>
        <w:tabs>
          <w:tab w:val="clear" w:pos="916"/>
          <w:tab w:val="clear" w:pos="1832"/>
        </w:tabs>
        <w:spacing w:before="120"/>
        <w:ind w:left="170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Keputusan Menteri Pendidikan Nasional Nomor 234/U/2000 tentang Pedoman Pendirian Perguruan Tinggi;</w:t>
      </w: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531F9B" w:rsidRDefault="00531F9B" w:rsidP="00D33B68">
      <w:pPr>
        <w:pStyle w:val="HTMLPreformatted"/>
        <w:keepNext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MEMUTUSKAN :</w:t>
      </w:r>
    </w:p>
    <w:p w:rsidR="00531F9B" w:rsidRDefault="00531F9B" w:rsidP="00D33B68">
      <w:pPr>
        <w:pStyle w:val="HTMLPreformatted"/>
        <w:keepNext/>
        <w:jc w:val="both"/>
        <w:rPr>
          <w:rFonts w:ascii="Times New Roman" w:hAnsi="Times New Roman" w:cs="Times New Roman"/>
          <w:sz w:val="24"/>
        </w:rPr>
      </w:pPr>
    </w:p>
    <w:bookmarkEnd w:id="0"/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Menetapkan : </w:t>
      </w:r>
      <w:r>
        <w:rPr>
          <w:rFonts w:ascii="Times New Roman" w:hAnsi="Times New Roman" w:cs="Times New Roman"/>
          <w:b/>
          <w:bCs/>
          <w:sz w:val="24"/>
        </w:rPr>
        <w:t xml:space="preserve">KEPUTUSAN MENTERI PENDIDIKAN NASIONAL TENTANG                          </w:t>
      </w: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PEDOMAN PENGAWASAN - PENGENDALIAN DAN PEMBINAAN PROGRAM DIPLOMA, SARJANA, DAN PASCASARJANA DI PERGURUAN TINGGI.</w:t>
      </w:r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1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Dalam rangka penjaminan akuntabilitas pengelolaan perguruan tinggi, Direktorat Jenderal Pendidikan Tinggi melaksanakan kegiatan pengawasan pengendalian dan pembinaan terhadap perguruan tinggi yang meliputi:</w:t>
      </w:r>
    </w:p>
    <w:p w:rsidR="00531F9B" w:rsidRDefault="00531F9B" w:rsidP="00531F9B">
      <w:pPr>
        <w:pStyle w:val="HTMLPreformatted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Rencana Induk Pengembangan (RIP);                                      </w:t>
      </w:r>
    </w:p>
    <w:p w:rsidR="00531F9B" w:rsidRDefault="00531F9B" w:rsidP="00531F9B">
      <w:pPr>
        <w:pStyle w:val="HTMLPreformatted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Rencana strategi (Renstra);                                            </w:t>
      </w:r>
    </w:p>
    <w:p w:rsidR="00531F9B" w:rsidRDefault="00531F9B" w:rsidP="00531F9B">
      <w:pPr>
        <w:pStyle w:val="HTMLPreformatted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Kurikulum;                                                             </w:t>
      </w:r>
    </w:p>
    <w:p w:rsidR="00531F9B" w:rsidRDefault="00531F9B" w:rsidP="00531F9B">
      <w:pPr>
        <w:pStyle w:val="HTMLPreformatted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Tenaga Kependidikan;                                                   </w:t>
      </w:r>
    </w:p>
    <w:p w:rsidR="00531F9B" w:rsidRDefault="00531F9B" w:rsidP="00531F9B">
      <w:pPr>
        <w:pStyle w:val="HTMLPreformatted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Calon Mahasiswa;                                                       </w:t>
      </w:r>
    </w:p>
    <w:p w:rsidR="00531F9B" w:rsidRDefault="00531F9B" w:rsidP="00531F9B">
      <w:pPr>
        <w:pStyle w:val="HTMLPreformatted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Sarana dan prasarana yang meliputi: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ruang kuliah;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ruang dosen; 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ruang seminar;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laboratorium;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perpustakaan;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fasilitas komputasi;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fasilitas teknologi informasi;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perlengkapan pendukung pembelajaran;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perlengkapan pendukung kegiatan kemahasiswaan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peralatan laboratorium;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buku-buku/dokumen yang mendukung;                                     </w:t>
      </w:r>
    </w:p>
    <w:p w:rsidR="00531F9B" w:rsidRDefault="00531F9B" w:rsidP="00531F9B">
      <w:pPr>
        <w:pStyle w:val="HTMLPreformatted"/>
        <w:spacing w:before="120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g. Penyelenggaraan pendidikan, yang meliputi;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kuliah;       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praktikum;    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kegiatan terencana;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pembimbingan; 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penilaian hasil belajar;                                               </w:t>
      </w:r>
    </w:p>
    <w:p w:rsidR="00531F9B" w:rsidRDefault="00531F9B" w:rsidP="00531F9B">
      <w:pPr>
        <w:pStyle w:val="HTMLPreformatted"/>
        <w:spacing w:before="120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Penyelenggaraan penelitian,                                            </w:t>
      </w:r>
    </w:p>
    <w:p w:rsidR="00531F9B" w:rsidRDefault="00531F9B" w:rsidP="00531F9B">
      <w:pPr>
        <w:pStyle w:val="HTMLPreformatted"/>
        <w:spacing w:before="120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Penyelenggaraan pengabdian kepada masyarakat;                          </w:t>
      </w:r>
    </w:p>
    <w:p w:rsidR="00531F9B" w:rsidRDefault="00531F9B" w:rsidP="00531F9B">
      <w:pPr>
        <w:pStyle w:val="HTMLPreformatted"/>
        <w:spacing w:before="120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Kerjasama, meliputi: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tukar menukar sumberdaya;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kemahasiswaan;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penelitian;            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pengembangan,                                                          </w:t>
      </w:r>
    </w:p>
    <w:p w:rsidR="00531F9B" w:rsidRDefault="00531F9B" w:rsidP="00531F9B">
      <w:pPr>
        <w:pStyle w:val="HTMLPreformatted"/>
        <w:spacing w:before="120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k. Administrasi dan pendanaan program, meliputi: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ketertiban administrasi;                                               </w:t>
      </w:r>
    </w:p>
    <w:p w:rsidR="00531F9B" w:rsidRDefault="00531F9B" w:rsidP="00531F9B">
      <w:pPr>
        <w:pStyle w:val="HTMLPreformatte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pendanaan;                                                             </w:t>
      </w:r>
    </w:p>
    <w:p w:rsidR="00531F9B" w:rsidRDefault="00531F9B" w:rsidP="00531F9B">
      <w:pPr>
        <w:pStyle w:val="HTMLPreformatted"/>
        <w:spacing w:before="120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l. Pelaporan kegiatan proses belajar mengajar.                            </w:t>
      </w:r>
    </w:p>
    <w:p w:rsidR="00531F9B" w:rsidRDefault="00531F9B" w:rsidP="00531F9B">
      <w:pPr>
        <w:pStyle w:val="HTMLPreformatted"/>
        <w:spacing w:before="120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Direktorat Jenderal Pendidikan Tinggi dalam melaksanakan kegiatan sebagaimana dimaksud pada ayat (1) pada perguruan tinggi swasta dapat dibantu oleh Kantor Koordinasi Perguruan Tinggi Swasta (KOPERTIS).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2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Untuk keperluan pengawasan sebagaimana dimaksud pada Pasal 1 ayat (1), setiap perguruan tinggi wajib mendokumentasikan kegiatan pembelajaran, penelitian, dan pengabdian kepada masyarakat.</w:t>
      </w:r>
    </w:p>
    <w:p w:rsidR="00531F9B" w:rsidRDefault="00531F9B" w:rsidP="00531F9B">
      <w:pPr>
        <w:pStyle w:val="HTMLPreformatted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Kegiatan pembelajaran meliputi: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jumlah mahasiswa;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jumlah dosen tetap dan tidak tetap yang aktif mengajar;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jadwal perkuliahan dan praktikum;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Garis-garis besar program pengajaran (GBPP);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Satuan Administrasi Pelajaran (SAP);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 kehadiran dosen;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g. kehadiran mahasiswa dalam kuliah;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praktikum dan ujian;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nilai ujian: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salinan/fotocopy ijazah;</w:t>
      </w:r>
    </w:p>
    <w:p w:rsidR="00531F9B" w:rsidRDefault="00531F9B" w:rsidP="00531F9B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dan transkrip akademik yang dihasilkan untuk keperluan penilaian.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531F9B" w:rsidRDefault="00531F9B" w:rsidP="00531F9B">
      <w:pPr>
        <w:pStyle w:val="HTMLPreformatted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(3) Kegiatan penelitian yang dilaksanakan oleh dosen dan mahasiswa di Lembaga/Perguruan Tinggi yang bersangkutan berupa karya-karya ilmiah, makalah, hasil seminar dan sejenisnya.</w:t>
      </w:r>
    </w:p>
    <w:p w:rsidR="00531F9B" w:rsidRDefault="00531F9B" w:rsidP="00531F9B">
      <w:pPr>
        <w:pStyle w:val="HTMLPreformatted"/>
        <w:spacing w:before="12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(4) Kegiatan pengabdian kepada masyarakat yang terencana dan terstruktur, meliputi kegiatan penyuluhan, pelatihan, konsultasi dan sejenisnya.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3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Kegiatan pengawasan - pengendalian dan pembinaan sebagaimana dimaksud pada Pasal I dilaksanakan baik dengan pemberitahuan maupun tanpa pemberitahuan kepada perguruan tinggi yang bersangkutan.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4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pengawasan-pengendalian dan pembinaan serta pelanggaran terhadap peraturan perundang-undangan yang berlaku, Direktorat Jenderal Pendidikan Tinggi berwenang memberikan sanksi administratif sebagaimana diatur dalam Pasal 30 Keputusan Menteri Pendidikan Nasional Nomor 234/U/2000 dengan sanksi administratif  terberat berupa penutupan perguruan tinggi.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5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Setiap perguruan tinggi wajib melaporkan kegiatan proses belajar mengajar setiap akhir semester kepada Direktorat Jenderal Pendidikan Tinggi dan Kopertis.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6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berlakunya keputusan ini, Keputusan dan segala ketentuan yang bertentangan dengan Keputusan ini dinyatakan tidak berlaku :</w:t>
      </w:r>
    </w:p>
    <w:p w:rsidR="00531F9B" w:rsidRDefault="00531F9B" w:rsidP="00531F9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Keputusan Menteri Pendidikan dan Kebudayaan Nomor 020/U/1986 tentang Ujian Negara Bagi Mahasiswa Perguruan Tinggi Swasta;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Keputusan Menteri Pendidikan dan Kebudayaan Nomor 0198/U/1987 tentang Penyelenggaraan Ujian Sendiri Bagi Perguruan Tinggi Tinggi Swasta Berstatus Disamakan;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Keputusan Menterl Pendidikan dan Kebudayaan Nomor 023/U/1993 tentang Pembinaan Fakultas Kedokteran di Perguruan Tinggi Yang Diselenggarakan Masyarakat;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Diktum Pertama angka 5, 6, dan 7, Keputusan Menteri Pendidikan dan Kebudayaan Nomor 324/U/1997 tentang Pemberian Wewenang Kepada Pejabat Tertentu di Lingkungan Departemen Pendidikan dan Kebudayaan Untuk Mengesahkan Salinan Atau Fotocopy Ijazah/Surat tanda Tamat Belajar dan Surat Keterangan Pengganti Atau Dokumen Lainnya yang Berpenghargaan Sama Dengan Ijazah/Surat Tanda Tamat Belajar;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Keputusan Menteri Pendidikan dan Kebudayaan Nomor 295/U/1998 tentang Tidak Berlakunya Beberapa Keputusan Menteri Pendidikan dan Kebudayaan Bagi Perguruan Tinggi Yang Telah Diakreditasi;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 Keputusan Direktur Jenderal Pendidikan Tinggi Nomor 19/DIKTI/Kep/1986; tentang Pedoman Pelaksanaan Keputusan Menteri Pendidikan dan Kebudayaan No. 020/U/1986 tentang Ujian Negara bagi Mahasiswa Perguruan Tinggi Swasta;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g. Keputusan Direktur Jenderal Pendidikan Tinggi Nomor 357/D/0/1989 tentang Memberlakukan ljazah Bagi Lulusan Perguruan Tinggi Swasta Terdaftar, Diakul, Disamakan;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h. Keputusan Direktur Jenderal Pendidikan Tinggi Nomor 75/DIKTI/Kep/1993, tentang Ujian Negara bagi mahasiswa Fakultas Kedokteran di Lingkungan Perguruan Tinggi Swasta;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 Keputusan Direktur Jenderal Pendidikan Tinggi Nomor 421/DIKTI/Kep/I996; tentang Persyaratan dan Tata cara Ujian Negara bagi Mahasiswa Program Sarjana dan Diploma Perguruan Tinggi Swasta;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 Keputusan Direktur Jenderal Pendidikan Tinggi Nomor 304/DIKTI/Kep/1998; tentang Tindak Lanjut Keputusan Menteri Pendidikan dan Kebudayaan No. 188/U/1998 tentang Akreditasi Program Studi pada Perguruan Tinggi untuk Program Sarjana;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Keputusan Direktur Jenderal Pendidikan Tinggi Nomor 314/DIKTI/Kep/1998; tentang Petunjuk Pelaksanaan Pembinaan dan Pengawasan terhadap program studi yang tidak Terakreditasi untuk program Sarjana di Perguruan Tinggi;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 Keputusan Direktur Jenderal Pendidikan Tinggi Nomor 347/DIKTI/Kep/I998; tentang Persyaratan dan Tata cara Ujian Pengawasan Mutu bagi Mahasiswa Program Pasca Sarjana Program Magister Perguruan Tinggi Swasta,</w:t>
      </w:r>
    </w:p>
    <w:p w:rsidR="00531F9B" w:rsidRDefault="00531F9B" w:rsidP="00531F9B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 Keputusan Direktur Jenderal Pendidikan Tinggi Nomor 374/DIKTI/Kep/1998; tentang Petunjuk Pelaksanaan dan Pengawasan Program Studi yang Terakreditasi untuk Program Sarjana di Perguruan Tinggi.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31F9B" w:rsidRDefault="00531F9B" w:rsidP="00531F9B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9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ini mulai berlaku pada tanggal ditetapkan.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Ditetapkan di Jakarta</w:t>
      </w: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tanggal 23 November 2001</w:t>
      </w: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MENTERI PENDIDIKAN NASIONAL, </w:t>
      </w: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</w:p>
    <w:p w:rsidR="00531F9B" w:rsidRDefault="00531F9B" w:rsidP="00531F9B">
      <w:pPr>
        <w:pStyle w:val="HTMLPreformatted"/>
        <w:ind w:firstLine="36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TTD,</w:t>
      </w:r>
    </w:p>
    <w:p w:rsidR="00531F9B" w:rsidRDefault="00531F9B" w:rsidP="00531F9B">
      <w:pPr>
        <w:pStyle w:val="HTMLPreformatted"/>
        <w:rPr>
          <w:rFonts w:ascii="Times New Roman" w:hAnsi="Times New Roman" w:cs="Times New Roman"/>
          <w:sz w:val="24"/>
        </w:rPr>
      </w:pPr>
    </w:p>
    <w:p w:rsidR="00ED5E49" w:rsidRPr="00531F9B" w:rsidRDefault="00531F9B" w:rsidP="00531F9B">
      <w:pPr>
        <w:pStyle w:val="HTMLPreformatted"/>
        <w:tabs>
          <w:tab w:val="clear" w:pos="3664"/>
        </w:tabs>
        <w:ind w:left="2684" w:firstLine="1002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A. MALIK FADJAR</w:t>
      </w:r>
    </w:p>
    <w:sectPr w:rsidR="00ED5E49" w:rsidRPr="00531F9B" w:rsidSect="00D33B68">
      <w:footerReference w:type="default" r:id="rId8"/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1" w:rsidRDefault="00D32F71" w:rsidP="00823279">
      <w:r>
        <w:separator/>
      </w:r>
    </w:p>
  </w:endnote>
  <w:endnote w:type="continuationSeparator" w:id="0">
    <w:p w:rsidR="00D32F71" w:rsidRDefault="00D32F71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531F9B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E522B" wp14:editId="4EB333BB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D32F71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D33B68" w:rsidRPr="00D33B68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t>D:\My Documents</w:t>
                          </w:r>
                          <w:r w:rsidR="00D33B68" w:rsidRPr="00D33B68">
                            <w:rPr>
                              <w:rFonts w:ascii="Cambria" w:hAnsi="Cambria"/>
                              <w:i/>
                              <w:noProof/>
                            </w:rPr>
                            <w:t>\luk.tsipil.ugm.ac.id\atur\Kepmen184-U-2001.docx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D33B68" w:rsidRPr="00D33B68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</w:rPr>
                            <w:fldChar w:fldCharType="separate"/>
                          </w:r>
                          <w:r w:rsidR="00D33B68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t>Saturday, 12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D32F71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D33B68" w:rsidRPr="00D33B68">
                      <w:rPr>
                        <w:rFonts w:ascii="Cambria" w:hAnsi="Cambria"/>
                        <w:i/>
                        <w:iCs/>
                        <w:noProof/>
                      </w:rPr>
                      <w:t>D:\My Documents</w:t>
                    </w:r>
                    <w:r w:rsidR="00D33B68" w:rsidRPr="00D33B68">
                      <w:rPr>
                        <w:rFonts w:ascii="Cambria" w:hAnsi="Cambria"/>
                        <w:i/>
                        <w:noProof/>
                      </w:rPr>
                      <w:t>\luk.tsipil.ugm.ac.id\atur\Kepmen184-U-2001.docx</w:t>
                    </w:r>
                    <w:r>
                      <w:rPr>
                        <w:rFonts w:ascii="Cambria" w:hAnsi="Cambria"/>
                        <w:i/>
                        <w:noProof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D33B68" w:rsidRPr="00D33B68">
                      <w:rPr>
                        <w:rFonts w:ascii="Cambria" w:hAnsi="Cambria"/>
                        <w:i/>
                        <w:iCs/>
                        <w:noProof/>
                      </w:rPr>
                      <w:t>55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</w:rPr>
                      <w:fldChar w:fldCharType="separate"/>
                    </w:r>
                    <w:r w:rsidR="00D33B68">
                      <w:rPr>
                        <w:rFonts w:ascii="Cambria" w:hAnsi="Cambria"/>
                        <w:i/>
                        <w:iCs/>
                        <w:noProof/>
                      </w:rPr>
                      <w:t>Saturday, 12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D32F71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1" w:rsidRDefault="00D32F71" w:rsidP="00823279">
      <w:r>
        <w:separator/>
      </w:r>
    </w:p>
  </w:footnote>
  <w:footnote w:type="continuationSeparator" w:id="0">
    <w:p w:rsidR="00D32F71" w:rsidRDefault="00D32F71" w:rsidP="0082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1F9B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2F71"/>
    <w:rsid w:val="00D33B68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semiHidden/>
    <w:rsid w:val="0053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1F9B"/>
    <w:rPr>
      <w:rFonts w:ascii="Courier New" w:eastAsia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semiHidden/>
    <w:rsid w:val="0053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1F9B"/>
    <w:rPr>
      <w:rFonts w:ascii="Courier New" w:eastAsia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2011-02-12T13:02:00Z</dcterms:created>
  <dcterms:modified xsi:type="dcterms:W3CDTF">2011-02-12T13:03:00Z</dcterms:modified>
  <cp:category>Produk Hukum</cp:category>
</cp:coreProperties>
</file>