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46" w:rsidRPr="003C64BF" w:rsidRDefault="00AD0346" w:rsidP="00AD0346">
      <w:pPr>
        <w:spacing w:after="0" w:line="240" w:lineRule="auto"/>
        <w:jc w:val="center"/>
        <w:rPr>
          <w:rFonts w:ascii="Times New Roman" w:eastAsia="Times New Roman" w:hAnsi="Times New Roman" w:cs="Times New Roman"/>
          <w:sz w:val="24"/>
          <w:szCs w:val="24"/>
        </w:rPr>
      </w:pPr>
      <w:r w:rsidRPr="003C64BF">
        <w:rPr>
          <w:rFonts w:ascii="Times New Roman" w:eastAsia="Times New Roman" w:hAnsi="Times New Roman" w:cs="Times New Roman"/>
          <w:noProof/>
          <w:sz w:val="24"/>
          <w:szCs w:val="24"/>
        </w:rPr>
        <w:drawing>
          <wp:inline distT="0" distB="0" distL="0" distR="0" wp14:anchorId="59C0D1C5" wp14:editId="553C68F4">
            <wp:extent cx="778510" cy="826770"/>
            <wp:effectExtent l="0" t="0" r="0" b="0"/>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826770"/>
                    </a:xfrm>
                    <a:prstGeom prst="rect">
                      <a:avLst/>
                    </a:prstGeom>
                    <a:noFill/>
                    <a:ln>
                      <a:noFill/>
                    </a:ln>
                  </pic:spPr>
                </pic:pic>
              </a:graphicData>
            </a:graphic>
          </wp:inline>
        </w:drawing>
      </w:r>
    </w:p>
    <w:p w:rsidR="00AD0346" w:rsidRPr="003C64BF" w:rsidRDefault="00AD0346" w:rsidP="00AD0346">
      <w:pPr>
        <w:spacing w:after="0" w:line="240" w:lineRule="auto"/>
        <w:jc w:val="center"/>
        <w:rPr>
          <w:rFonts w:ascii="Times New Roman" w:eastAsia="Times New Roman" w:hAnsi="Times New Roman" w:cs="Times New Roman"/>
          <w:sz w:val="24"/>
          <w:szCs w:val="24"/>
        </w:rPr>
      </w:pPr>
      <w:r w:rsidRPr="003C64BF">
        <w:rPr>
          <w:rFonts w:ascii="Book Antiqua" w:eastAsia="Times New Roman" w:hAnsi="Book Antiqua" w:cs="Times New Roman"/>
          <w:spacing w:val="-2"/>
          <w:sz w:val="16"/>
          <w:szCs w:val="16"/>
          <w:lang w:val="sv-SE"/>
        </w:rPr>
        <w:t xml:space="preserve">MENTERI KEUANGAN </w:t>
      </w:r>
    </w:p>
    <w:p w:rsidR="00AD0346" w:rsidRPr="003C64BF" w:rsidRDefault="00AD0346" w:rsidP="00AD0346">
      <w:pPr>
        <w:spacing w:after="90" w:line="240" w:lineRule="auto"/>
        <w:jc w:val="center"/>
        <w:rPr>
          <w:rFonts w:ascii="Times New Roman" w:eastAsia="Times New Roman" w:hAnsi="Times New Roman" w:cs="Times New Roman"/>
          <w:sz w:val="24"/>
          <w:szCs w:val="24"/>
        </w:rPr>
      </w:pPr>
      <w:r w:rsidRPr="003C64BF">
        <w:rPr>
          <w:rFonts w:ascii="Book Antiqua" w:eastAsia="Times New Roman" w:hAnsi="Book Antiqua" w:cs="Times New Roman"/>
          <w:sz w:val="16"/>
          <w:szCs w:val="16"/>
          <w:lang w:val="sv-SE"/>
        </w:rPr>
        <w:t>REPUBLIK INDONESIA</w:t>
      </w:r>
    </w:p>
    <w:p w:rsidR="00AD0346" w:rsidRPr="003C64BF" w:rsidRDefault="00AD0346" w:rsidP="00AD0346">
      <w:pPr>
        <w:spacing w:after="18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SALINAN</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PERATURAN MENTERI KEUANGAN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NOMOR 262/PMK.03/2010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TENTANG</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br/>
        <w:t xml:space="preserve">TATA CARA PEMOTONGAN PAJAK PENGHASILAN PASAL 21 BAGI PEJABAT NEGARA, PNS,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ANGGOTA TNI, ANGGOTA POLRI, DAN PENSIUNANNYA ATAS PENGHASILAN YANG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MENJADI BEBAN ANGGARAN PENDAPATAN DAN BELANJA NEGARA ATAU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ANGGARAN PENDAPATAN DAN BELANJA DAERAH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DENGAN RAHMAT TUHAN YANG MAHA ESA</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MENTERI KEUANGAN,</w:t>
      </w:r>
    </w:p>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tbl>
      <w:tblPr>
        <w:tblW w:w="5000" w:type="pct"/>
        <w:tblCellMar>
          <w:left w:w="0" w:type="dxa"/>
          <w:right w:w="0" w:type="dxa"/>
        </w:tblCellMar>
        <w:tblLook w:val="04A0" w:firstRow="1" w:lastRow="0" w:firstColumn="1" w:lastColumn="0" w:noHBand="0" w:noVBand="1"/>
      </w:tblPr>
      <w:tblGrid>
        <w:gridCol w:w="1360"/>
        <w:gridCol w:w="271"/>
        <w:gridCol w:w="368"/>
        <w:gridCol w:w="362"/>
        <w:gridCol w:w="362"/>
        <w:gridCol w:w="2630"/>
        <w:gridCol w:w="3718"/>
      </w:tblGrid>
      <w:tr w:rsidR="00AD0346" w:rsidRPr="003C64BF" w:rsidTr="00AD0346">
        <w:trPr>
          <w:trHeight w:val="2070"/>
        </w:trPr>
        <w:tc>
          <w:tcPr>
            <w:tcW w:w="7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Menimbang</w:t>
            </w:r>
          </w:p>
        </w:tc>
        <w:tc>
          <w:tcPr>
            <w:tcW w:w="1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bahwa dalam rangka melaksanakan ketentuan Pasal 7 Peraturan Pemerintah Nomor 80 Tahun 2010 tentang Tarif Pemotongan dan Pengenaan Pajak Penghasilan Pasal 21 atas Penghasilan yang Menjadi Beban Anggaran Pendapatan dan Belanja Negara atau Anggaran Pendapatan dan Belanja Daerah, perlu menetapkan Peraturan Menteri Keuangan tentang Tata Cara Pemotongan Pajak Penghasilan Pasal 21 bagi Pejabat Negara, PNS, Anggota TNI, Anggota POLRI, dan Pensiunannya atas Penghasilan yang Menjadi Beban Anggaran Pendapatan dan Belanja Negara atau Anggaran Pendapatan dan Belanja Daerah; </w:t>
            </w:r>
          </w:p>
        </w:tc>
      </w:tr>
      <w:tr w:rsidR="00AD0346" w:rsidRPr="003C64BF" w:rsidTr="00AD0346">
        <w:trPr>
          <w:trHeight w:val="1470"/>
        </w:trPr>
        <w:tc>
          <w:tcPr>
            <w:tcW w:w="7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Mengingat</w:t>
            </w:r>
          </w:p>
        </w:tc>
        <w:tc>
          <w:tcPr>
            <w:tcW w:w="1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hyperlink r:id="rId9" w:history="1">
              <w:r w:rsidRPr="003C64BF">
                <w:rPr>
                  <w:rFonts w:ascii="Book Antiqua" w:eastAsia="Times New Roman" w:hAnsi="Book Antiqua" w:cs="Times New Roman"/>
                  <w:color w:val="0000FF"/>
                  <w:szCs w:val="24"/>
                  <w:u w:val="single"/>
                </w:rPr>
                <w:t>Undang-Undang Nomor 6 Tahun 1983</w:t>
              </w:r>
            </w:hyperlink>
            <w:r w:rsidRPr="003C64BF">
              <w:rPr>
                <w:rFonts w:ascii="Book Antiqua" w:eastAsia="Times New Roman" w:hAnsi="Book Antiqua" w:cs="Times New Roman"/>
                <w:szCs w:val="24"/>
              </w:rPr>
              <w:t xml:space="preserve"> tentang Ketentuan Umum dan Tata Cara Perpajakan (Lembaran Negara Republik Indonesia Tahun 1983 Nomor 49, Tambahan Lembaran Negara Republik Indonesia Nomor 3262) sebagaimana telah beberapa kali diubah terakhir dengan </w:t>
            </w:r>
            <w:hyperlink r:id="rId10" w:history="1">
              <w:r w:rsidRPr="003C64BF">
                <w:rPr>
                  <w:rFonts w:ascii="Book Antiqua" w:eastAsia="Times New Roman" w:hAnsi="Book Antiqua" w:cs="Times New Roman"/>
                  <w:color w:val="0000FF"/>
                  <w:szCs w:val="24"/>
                  <w:u w:val="single"/>
                </w:rPr>
                <w:t>Undang-Undang Nomor 16 Tahun 2009</w:t>
              </w:r>
            </w:hyperlink>
            <w:r w:rsidRPr="003C64BF">
              <w:rPr>
                <w:rFonts w:ascii="Book Antiqua" w:eastAsia="Times New Roman" w:hAnsi="Book Antiqua" w:cs="Times New Roman"/>
                <w:szCs w:val="24"/>
              </w:rPr>
              <w:t xml:space="preserve"> (Lembaran Negara Republik Indonesia Tahun 2009 Nomor 62, Tambahan Lembaran Negara Republik Indonesia Nomor 4999);</w:t>
            </w:r>
          </w:p>
        </w:tc>
      </w:tr>
      <w:tr w:rsidR="00AD0346" w:rsidRPr="003C64BF" w:rsidTr="00AD0346">
        <w:trPr>
          <w:trHeight w:val="1470"/>
        </w:trPr>
        <w:tc>
          <w:tcPr>
            <w:tcW w:w="7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hyperlink r:id="rId11" w:history="1">
              <w:r w:rsidRPr="003C64BF">
                <w:rPr>
                  <w:rFonts w:ascii="Book Antiqua" w:eastAsia="Times New Roman" w:hAnsi="Book Antiqua" w:cs="Times New Roman"/>
                  <w:color w:val="0000FF"/>
                  <w:szCs w:val="24"/>
                  <w:u w:val="single"/>
                </w:rPr>
                <w:t>Undang-Undang Nomor 7 Tahun 1983</w:t>
              </w:r>
            </w:hyperlink>
            <w:r w:rsidRPr="003C64BF">
              <w:rPr>
                <w:rFonts w:ascii="Book Antiqua" w:eastAsia="Times New Roman" w:hAnsi="Book Antiqua" w:cs="Times New Roman"/>
                <w:szCs w:val="24"/>
              </w:rPr>
              <w:t xml:space="preserve"> tentang Pajak Penghasilan (Lembaran Negara Republik Indonesia Tahun 1993 Nomor 50, Tambahan Lembaran Negara Nomor 3263) sebagaimana telah beberapa kali diubah terakhir dengan </w:t>
            </w:r>
            <w:hyperlink r:id="rId12" w:history="1">
              <w:r w:rsidRPr="003C64BF">
                <w:rPr>
                  <w:rFonts w:ascii="Book Antiqua" w:eastAsia="Times New Roman" w:hAnsi="Book Antiqua" w:cs="Times New Roman"/>
                  <w:color w:val="0000FF"/>
                  <w:szCs w:val="24"/>
                  <w:u w:val="single"/>
                </w:rPr>
                <w:t>Undang-Undang Nomor 36 Tahun 2008</w:t>
              </w:r>
            </w:hyperlink>
            <w:r w:rsidRPr="003C64BF">
              <w:rPr>
                <w:rFonts w:ascii="Book Antiqua" w:eastAsia="Times New Roman" w:hAnsi="Book Antiqua" w:cs="Times New Roman"/>
                <w:szCs w:val="24"/>
              </w:rPr>
              <w:t xml:space="preserve"> (Lembaran Negara Republik Indonesia Tahun 2000 Nomor 133, Tambahan Lembaran Negara Republik Indonesia Nomor 4893);</w:t>
            </w:r>
          </w:p>
        </w:tc>
      </w:tr>
      <w:tr w:rsidR="00AD0346" w:rsidRPr="003C64BF" w:rsidTr="00375BC7">
        <w:trPr>
          <w:trHeight w:val="57"/>
        </w:trPr>
        <w:tc>
          <w:tcPr>
            <w:tcW w:w="7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Peraturan Pemerintah Nomor 80 Tahun 2010 tentang Tarif Pemotongan dan Pengenaan Pajak Penghasilan Pasal 21 atas Penghasilan yang Menjadi Beban Anggaran Pendapatan dan Belanja Negara atau Anggaran Pendapatan dan Belanja Daerah (Lembaran Negara Republik Indonesia Tahun 2010 Nomor 140, Tambahan Lembaran Negara </w:t>
            </w:r>
            <w:r w:rsidRPr="003C64BF">
              <w:rPr>
                <w:rFonts w:ascii="Book Antiqua" w:eastAsia="Times New Roman" w:hAnsi="Book Antiqua" w:cs="Times New Roman"/>
                <w:szCs w:val="24"/>
              </w:rPr>
              <w:lastRenderedPageBreak/>
              <w:t xml:space="preserve">Republik Indonesia Nomor 5174);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hyperlink r:id="rId13" w:history="1">
              <w:r w:rsidRPr="003C64BF">
                <w:rPr>
                  <w:rFonts w:ascii="Book Antiqua" w:eastAsia="Times New Roman" w:hAnsi="Book Antiqua" w:cs="Times New Roman"/>
                  <w:color w:val="0000FF"/>
                  <w:szCs w:val="24"/>
                  <w:u w:val="single"/>
                </w:rPr>
                <w:t>Keputusan Presiden Nomor 56/P Tahun 2010</w:t>
              </w:r>
            </w:hyperlink>
            <w:r w:rsidRPr="003C64BF">
              <w:rPr>
                <w:rFonts w:ascii="Book Antiqua" w:eastAsia="Times New Roman" w:hAnsi="Book Antiqua" w:cs="Times New Roman"/>
                <w:szCs w:val="24"/>
              </w:rPr>
              <w:t xml:space="preserve">;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MEMUTUSKAN :</w:t>
            </w:r>
          </w:p>
        </w:tc>
      </w:tr>
      <w:tr w:rsidR="00AD0346" w:rsidRPr="003C64BF" w:rsidTr="00AD0346">
        <w:trPr>
          <w:trHeight w:val="1170"/>
        </w:trPr>
        <w:tc>
          <w:tcPr>
            <w:tcW w:w="7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Menetaokan</w:t>
            </w:r>
          </w:p>
        </w:tc>
        <w:tc>
          <w:tcPr>
            <w:tcW w:w="15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PERATURAN MENTERI KEUANGAN TENTANG TATA CARA PEMOTONGAN PAJAK PENGHASILAN PASAL 21 BAGI PEJABAT NEGARA, PNS, ANGGOTA TNI, ANGGOTA POLRI, DAN PENSIUNANNYA ATAS PENGHASILAN YANG MENJADI BEBAN ANGGARAN PENDAPATAN DAN BELANJA NEGARA ATAU ANGGARAN PENDAPATAN DAN BELANJA DAERAH.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Pasal 1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Peraturan Menteri Keuangan ini, yang dimaksud dengan: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Undang-Undang Pajak Penghasilan adalah Undang-Undang Nomor 7 Tahun 1983 tentang Pajak Penghasilan sebagaimana telah beberapa kali diubah terakhir dengan Undang-Undang Nomor 36 Tahun 2008 tentang Perubahan Keempat atas Undang-Undang Nomor 7 Tahun 1983 tentang Pajak </w:t>
            </w:r>
            <w:r w:rsidRPr="003C64BF">
              <w:rPr>
                <w:rFonts w:ascii="Book Antiqua" w:eastAsia="Times New Roman" w:hAnsi="Book Antiqua" w:cs="Times New Roman"/>
                <w:szCs w:val="24"/>
              </w:rPr>
              <w:br/>
              <w:t>Penghasilan.</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Pajak Penghasilan Pasal 21 yang selanjutnya disebut PPh Pasal 21 adalah pajak atas penghasilan sehubungan dengan pekerjaan, jasa, atau kegiatan dengan nama dan dalam bentuk apapun yang diterima atau diperoleh Wajib Pajak orang pribadi dalam negeri sebagaimana diatur dalam Pasal 21 Undang-Undang Pajak Penghasilan.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Pejabat Negara adalah Pejabat Negara sebagaimana dimaksud dalam Undang-Undang Pokok-Pokok Kepegawaian.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Pegawai Negeri Sipil, yang selanjutnya disingkat PNS, adalah PNS sebagaimana dimaksud dalam Undang-Undang Pokok-Pokok Kepegawaian.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Anggota Tentara Nasional Indonesia, yang selanjutnya disebut Anggota TNI adalah anggota TNI sebagaimana dimaksud dalam Undang-Undang Pokok-Pokok Kepegawaian.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6.</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Anggota Kepolisian Negara Republik Indonesia, yang selanjutnya disebut Anggota POLRI adalah anggota POLRI sebagaimana dimaksud dalam Undang-Undang Pokok-Pokok Kepegawaian.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7.</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Pensiunan adalah orang pribadi yang menerima atau memperoleh imbalan atas pekerjaan yang dilakukan di masa lalu sebagai Pejabat Negara, PNS, Anggota TNI atau Anggota POLRI, termasuk janda atau duda dan/atau anak-anaknya. </w:t>
            </w:r>
          </w:p>
        </w:tc>
      </w:tr>
      <w:tr w:rsidR="00AD0346" w:rsidRPr="003C64BF" w:rsidTr="00AD0346">
        <w:trPr>
          <w:trHeight w:val="16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 w:val="14"/>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 w:val="14"/>
                <w:szCs w:val="24"/>
              </w:rPr>
            </w:pPr>
          </w:p>
        </w:tc>
        <w:tc>
          <w:tcPr>
            <w:tcW w:w="200" w:type="pct"/>
            <w:tcBorders>
              <w:top w:val="nil"/>
              <w:left w:val="nil"/>
              <w:bottom w:val="nil"/>
              <w:right w:val="nil"/>
            </w:tcBorders>
            <w:hideMark/>
          </w:tcPr>
          <w:p w:rsidR="00AD0346" w:rsidRPr="003C64BF" w:rsidRDefault="00AD0346" w:rsidP="00AD0346">
            <w:pPr>
              <w:spacing w:before="45" w:after="45" w:line="165" w:lineRule="atLeast"/>
              <w:rPr>
                <w:rFonts w:ascii="Times New Roman" w:eastAsia="Times New Roman" w:hAnsi="Times New Roman" w:cs="Times New Roman"/>
                <w:szCs w:val="24"/>
              </w:rPr>
            </w:pPr>
            <w:r w:rsidRPr="003C64BF">
              <w:rPr>
                <w:rFonts w:ascii="Book Antiqua" w:eastAsia="Times New Roman" w:hAnsi="Book Antiqua" w:cs="Times New Roman"/>
                <w:szCs w:val="24"/>
              </w:rPr>
              <w:t>8.</w:t>
            </w:r>
          </w:p>
        </w:tc>
        <w:tc>
          <w:tcPr>
            <w:tcW w:w="3900" w:type="pct"/>
            <w:gridSpan w:val="4"/>
            <w:tcBorders>
              <w:top w:val="nil"/>
              <w:left w:val="nil"/>
              <w:bottom w:val="nil"/>
              <w:right w:val="nil"/>
            </w:tcBorders>
            <w:hideMark/>
          </w:tcPr>
          <w:p w:rsidR="00AD0346" w:rsidRPr="003C64BF" w:rsidRDefault="00AD0346" w:rsidP="00AD0346">
            <w:pPr>
              <w:spacing w:before="45" w:after="45" w:line="165" w:lineRule="atLeast"/>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Anggaran Pendapatan dan Belanja Negara, yang selanjutnya disingkat APBN adalah rencana keuangan tahunan pemerintahan negara yang disetujui oleh Dewan Perwakilan Rakyat.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9.</w:t>
            </w:r>
          </w:p>
        </w:tc>
        <w:tc>
          <w:tcPr>
            <w:tcW w:w="3900" w:type="pct"/>
            <w:gridSpan w:val="4"/>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Anggaran Pendapatan dan Belanja Daerah, yang selanjutnya disingkat APBD adalah rencana keuangan tahunan pemerintahan daerah yang disetujui oleh Dewan Perwakilan Rakyat Daerah.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II</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PENGHASILAN YANG DIKENAI PPh PASAL 21</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2</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terutang atas penghasilan tetap dan teratur setiap bulan yang menjadi beban APBN atau APBD ditanggung oleh Pemerintah atas beban APBN atau APBD.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tetap dan teratur setiap bulan yang menjadi beban APBN atau APBD sebagaimana dimaksud pada ayat (1) meliputi penghasilan tetap dan teratur bagi: </w:t>
            </w:r>
          </w:p>
        </w:tc>
      </w:tr>
      <w:tr w:rsidR="00AD0346" w:rsidRPr="003C64BF" w:rsidTr="00AD0346">
        <w:trPr>
          <w:trHeight w:val="27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Pejabat Negara, untuk: </w:t>
            </w:r>
          </w:p>
        </w:tc>
      </w:tr>
      <w:tr w:rsidR="00AD0346" w:rsidRPr="003C64BF" w:rsidTr="00AD0346">
        <w:trPr>
          <w:trHeight w:val="240"/>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500" w:type="pct"/>
            <w:gridSpan w:val="2"/>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dan tunjangan lain yang sifatnya tetap dan teratur setiap bulan; atau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500" w:type="pct"/>
            <w:gridSpan w:val="2"/>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imbalan tetap sejenisnya,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yang ditetapkan berdasarkan ketentuan peraturan perundang-undangan;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PNS, Anggota TN!, dan Anggota POLRI, untuk gaji dan tunjangan lain yang sifatnya tetap dan teratur setiap bulan yang ditetapkan berdasarkan ketentuan peraturan perundang-undangan; dan</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Pensiunan, untuk uang pensiun dan tunjangan lain yang sifatnya tetap dan teratur setiap bulan yang ditetapkan berdasarkan ketentuan peraturan perundang-undangan.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Termasuk dalam pengertian gaji, uang pensiun, dan tunjangan lain sebagaimana dimaksud pada ayat (2) adalah gaji, uang pensiun, dan tunjangan ke-13 (ketiga belas).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3</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Atas penghasilan selain penghasilan sebagaimana dimaksud dalam Pasal 2 ayat (2) berupa honorarium atau imbalan lain dengan nama apa pun yang menjadi beban APBN atau APBD, dipotong PPh Pasal 21 dan bersifat final, tidak termasuk biaya perjalanan dinas.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4</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penghasilan tetap dan teratur setiap bulan sebagaimana dimaksud dalam Pasal 2 ayat (1) dan honorarium atau imbalan lain dengan nama apa pun sebagaimana dimaksud dalam Pasal 3 diterima dalam mata uang asing, penghitungan PPh Pasal 21 didasarkan pada nilai tukar (kurs) yang ditetapkan oleh Menteri Keuangan yang berlaku pada saat pembayaran penghasilan tersebut.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III</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DASAR PENGENAAN PPh PASAL 21</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5</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Dasar pengenaan PPh Pasal 21 atas penghasilan tetap dan teratur setiap bulan sebagaimana dimaksud dalam Pasal 2 ayat (1) adalah Penghasilan Kena Pajak.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Penghasilan Kena Pajak sebagaimana dimaksud pada ayat (1) ditentukan berdasarkan penghasilan neto dikurangi Penghasilan Tidak Kena Pajak.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Penghasilan neto sebagaimana dimaksud pada ayat (2) bagi Pejabat Negara, PNS, Anggota TNI, atau Anggota POLRI ditentukan berdasarkan jumlah seluruh penghasilan tetap dan teratur setiap bulan dikurangi dengan: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sebagaimana diatur dalam Peraturan Menteri Keuangan yang mengatur tentang biaya jabatan; dan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yang terkait dengan gaji yang dibayar oleh Pejabat Negara, PNS, Anggota TNI, atau Anggota POLRI kepada dana pensiun yang pendiriannya telah disahkan oleh Menteri Keuangan atau badan penyelenggara tunjangan hari tua atau jaminan hari tua yang dipersamakan dengan dana pensiun yang pendiriannya telah disahkan oleh Menteri Keuangan.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penghasilan neto sebagaimana dimaksud pada ayat (2) bagi pensiunan ditentukan berdasarkan seluruh penghasilan tetap dan teratur setiap bulan dikurangi dengan biaya pensiun sebagaimana diatur dalam Peraturan Menteri Keuangan yang mengatur tentang biaya pensiun.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6</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Dasar pengenaan PPh Pasal 21 atas honorarium atau imbalan lain dengan nama apa pun sebagaimana dimaksud dalam Pasal 3 adalah penghasilan bruto.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7</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Penghasilan Tidak Kena Pajak per tahun adalah sebagaimana dimaksud dalam Pasal 7 ayat (1) Undang-Undang Pajak Penghasilan atau Peraturan Menteri Keuangan mengenai penyesuaian besarnya Penghasilan Tidak Kena Pajak sebagaimana dimaksud dalam Pasal 7 ayat (3) Undang-Undang Pajak Penghasilan.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Besarnya Penghasilan Tidak Kena Pajak bagi wanita berlaku ketentuan sebagai berikut:</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bagi wanita kawin, sebesar Penghasilan Tidak Kena Pajak untuk dirinya sendiri;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bagi wanita tidak kawin, sebesar Penghasilan Tidak Kena Pajak untuk dirinya sendiri ditambah Penghasilan Tidak Kena Pajak untuk keluarga sedarah dan keluarga semenda dalam garis keturunan lurus serta anak angkat, yang menjadi tanggungan sepenuhnya paling banyak 3 (tiga) orang.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wanita kawin sebagaimana dimaksud pada ayat (2) huruf a dapat menunjukan keterangan tertulis dari pemerintah daerah setempat serendah-rendahnya kecamatan yang menyatakan suaminya tidak menerima atau memperoleh penghasilan, besarnya Penghasilan Tidak Kena Pajak adalah Penghasilan Tidak Kena Pajak untuk dirinya sendiri ditambah Penghasilan Tidak Kena Pajak untuk status kawin dan Penghasilan Tidak Kena Pajak untuk keluarga sedarah dan keluarga semenda dalam garis keturunan lurus serta anak angkat, yang menjadi tanggungan sepenuhnya paling banyak 3 (tiga) orang.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Penghasilan Tidak Kena Pajak ditentukan berdasarkan keadaan pada awal tahun kalender.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IV</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TARIF PEMOTONGAN PAJAK DAN PENETAPANNYA</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8</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Tarif pajak berdasarkan Pasal 17 ayat (1) huruf a Undang-Undang Pajak Penghasilan diterapkan atas Penghasilan Kena Pajak sebagaimana dimaksud dalam Pasal 5 ayat (1).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Penghasilan Kena Pajak sebagai dasar penerapan tarif sebagaimana dimaksud pada ayat (1) dibulatkan ke bawah hingga ribuan rupiah penuh.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Untuk perhitungan PPh Pasal 21 yang harus dipotong setiap Masa Pajak, selain Masa Pajak Desember atau Masa Pajak terakhir, tarif pajak sebagaimana dimaksud pada ayat (1) diterapkan atas perkiraan penghasilan yang akan diperoleh selama 1 (satu) tahun, dengan ketentuan sebagai berikut: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perkiraan penghasilan yang akan diperoleh selama 1 (satu) tahun adalah jumlah gaji, uang pensiun, dan tunjangan yang dibayarkan setiap bulan dikalikan 12 (dua belas);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terdapat pembayaran penghasilan seperti gaji, uang pensiun, dan tunjangan ke-13 (ketiga belas), serta rapel gaji dan/atau tunjangan maka perkiraan penghasilan yang akan diperoleh selama 1 (satu) tahun adalah sebesar jumlah pada huruf a ditambah dengan jumlah gaji, uang pensiun, dan tunjangan ke-13 (ketiga belas) seRta rapel gaji dan/atau tunjangan.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Masa Pajak terakhir sebagaimana dimaksud pada ayat (3) adalah Masa Pajak tertentu dimana Pejabat Negara, PNS, Anggota TNI, atau Anggota POLRI terakhir bekerja.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PPh Pasal 21 yang harus dipotong untuk setiap Masa Pajak sebagaimana dimaksud pada ayat (3) adalah: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atas penghasilan seperti gaji, uang pensiun, dan tunjangan yang dibayarkan setiap bulan adalah sebesar Pajak Penghasilan terutang atas jumlah penghasilan sebagaimana dimaksud pada ayat (3) huruf a dibagi 12 (dua belas);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atas penghasilan seperti gaji, uang pensiun, dan tunjangan ke-13 (ketiga belas) serta rapel gaji dan/atau tunjangan adalah sebesar selisih antara Pajak Penghasilan yang terutang atas jumlah penghasilan sebagaimana dimaksud pada ayat (3) huruf b dengan Pajak Penghasilan yang terutang atas jumlah penghasilan sebagaimana dimaksud pada ayat (3) huruf 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(6)</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Dalam hal Pejabat Negara, PNS, Anggota TNI atau Anggota POLRI mulai bekerja sebagai Pejabat Negara, PNS, Anggota TNI atau Anggota POLRI setelah bulan J anuari, banyaknya bulan yang menjadi faktor pengali sebagaimana dimaksud pada ayat (3) atau faktor pembagi sebagaimana dimaksud pada ayat (5) adalah jumlah bulan tersisa dalam tahun kalender sejak yang bersangkutan mulai bekerja atau mulai pensiun.</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(7)</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PPh Pasal 21 yang dipotong untuk Masa Pajak Desember adalah selisih antara Pajak Penghasilan yang terutang atas seluruh Penghasilan Kena Pajak selama 1 (satu) tahun takwim dengan akumulasi PPh Pasal 21 yang terutang pada Masa Pajak-Masa Pajak sebelumnya dalam tahun takwim yang bersangkutan.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(8)</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Besarnya PPh Pasal 21 yang dipotong untuk Masa Pajak terakhir adalah selisih antara Pajak Penghasilan yang terutang atas seluruh Penghasilan Kena Pajak yang disetahunkan dengan akumulasi PPh Pasal 21 yang terutang pada Masa Pajak-Masa Pajak sebelumnya dalam tahun takwim yang bersangkutan.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(9)</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Tidak termasuk dalam akumulasi PPh Pasal 21 yang terutang sebagaimana dimaksud pada ayat (7) dan ayat (8) adalah tambahan PPh Pasal 21 lebih tinggi sebesar 20% (dua puluh persen) sebagaimana dimaksud dalamPasal 10 ayat (1).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(10)</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atau Anggota POLRI menerima tambahan penghasilan yang bersifat tetap dan teratur setiap bulan yang pembayarannya terpisah dari pembayaran gaji, maka penghitungan PPh Pasal 21 atas tambahan penghasilan tersebut harus memperhitungkan jumlah seluruh penghasilan tetap dan teratur setiap bulan yang diterima oleh Pejabat Negara, PNS, Anggota TNI atau Anggota POLRI yang bersangkutan.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9</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Tarif PPh Pasal 21 atas honorarium atau imbalan lain dengan nama apa pun yang menjadi beban APBN atau APBD sebagaimana dimaksud dalam Pasal 3, adalah sebagai berikut: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sebesar 0% (nol persen) dari penghasilan bruto bagi PNS Golongan I dan Golongan II, Anggota TNI dan Anggota POLRI Golongan Pangkat Tamtama dan Bintara, dan Pensiunannya;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90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sebesar 5% (lima persen) dari penghasilan bruto bagi PNS Golongan III, Anggota TNI dan Anggota POLRI Golongan Pangkat Perwira Pertama, dan Pensiunannya;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3900" w:type="pct"/>
            <w:gridSpan w:val="4"/>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sebesar 15% (lima belas persen) dari penghasilan bruto bagi Pejabat Negara, PNS Golongan IV, Anggota TNI dan Anggota POLRI Golongan Pangkat Perwira Menengah dan Perwira Tinggi, dan Pensiunannya.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10</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Anggota POLRI, dan Pensiunannya tidak memiliki Nomor Pokok Wajib Pajak, atas penghasilan tetap dan teratur setiap bulan yang menjadi beban APBN atau APBD dikenai tarif PPh Pasal 21 lebih tinggi sebesar 20% (dua puluh persen) daripada tarif yang diterapkan terhadap Pejabat Negara, PNS, Anggota TNI, Anggota POLRI, dan Pensiunannya yang memiliki Nomor Pokok Wajib Pajak.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PPh Pasal 21 lebih tinggi sebesar 20% (dua puluh persen) sebagaimana dimaksud pada ayat (1) menjadi beban Pejabat Negara, PNS, Anggota TNI, Anggota POLRI, dan Pensiunannya dan dipotong dari penghasilan yang diterima Pejabat Negara, PNS, Anggota TNI, Anggota POLRI, dan Pensiunannya.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Pengenaan tambahan PPh Pasal 21 sebagaimana dimaksud pada ayat (2) dilakukan oleh bendahara pemerintah dalam hal Pejabat Negara, PNS, Anggota TNI, Anggota POLRI, dan Pensiunannya belum memiliki Nomor Pokok Wajib Pajak pada saat permintaan pembayaran penghasilan tetap dan teratur setiap bulan diajukan.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Pemotongan atas tambahan PPh Pasal 21 sebagaimana dimaksud pada ayat (2) dilakukan oleh bendahara pemerintah pada saat pembayaran penghasilan tetap dan teratur yang diterima setiap bulan.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Kepemilikan Nomor Pokok Wajib Pajak dibuktikan oleh Pejabat Negara, PNS, Anggota TNI, Anggota POLRI, dan Pensiunannya dengan memberikan fotokopi kartu Nomor Pokok Wajib Pajak kepada bendahara pemerintah.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(6)</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Bagi wanita kawin yang tidak memilih untuk menjalankan hak dan kewajiban perpajakannya sendiri, kepemilikan Nomor Pokok Wajib Pajak sebagaimana dimaksud pada ayat (5) dibuktikan dengan memberikan: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fotokopi kartu Nomor Pokok Wajib Pajak suami serta fotokopi surat nikah; atau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fotokopi kartu Nomor Pokok Wajib Pajak diri sendiri dengan kode keluarga dari Nomor Pokok Wajib Pajak suami,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3900" w:type="pct"/>
            <w:gridSpan w:val="4"/>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kepada bendahara pemerintah.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V</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KEWAJIBAN PEMOTONGAN PAJAK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11</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yang melakukan pemotongan PPh Psl 21 adalah bendahara pengeluaran pada kementerian/lembaga, pemerintah provinsi, atau pemerintah kabupaten/kota.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sebagaimana dimaksud pada ayat (1) wajib: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mendaftarkan diri ke Kantor Pelayanan Pajak sesuai dengan ketentuan peraturan perundangan perpajakan; dan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menghitung, memotong, menyetorkan dan melaporkan PPh Pasal 21 yang terutang untuk setiap Masa Pajak.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Kewajiban menghitung, memotong, dan melaporkan sebagaimana dimaksud pada ayat (2) tetap dilakukan terhadap penghasilan yang dikenai tarif PPh Pasal 21 sebesar 0% (nol persen).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Ketentuan mengenai kewajiban untuk melaporkan pemotongan PPh Pasal 21 untuk setiap Masa Pajak sebagaimana dimaksud pada ayat (2) tetap berlaku, dalam hal jumlah pajak yang dipotong pada Masa Pajak yang bersangkutan nihil.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12</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Pelaksanaan pemotongan PPh Pasal 21 bagi Pensiunan dilakukan oleh badan yang ditunjuk sesuai peraturan perundang-undangan untuk melakukan pembayaran penghasilan sebagaimana dimaksud dalam Pasal 2 ayat (2) huruf c.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Kewajiban sebagaimana dimaksud dalam Pasal 11 ayat (2) berlaku bagi badan yang ditunjuk sebagaimana dimaksud pada ayat (1).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13</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dalam suatu Masa Pajak terjadi kelebihan perhitungan atas PPh Pasal 21 yang Ditanggung Pemerintah, kelebihan PPh Pasal 21 yang ditanggung oleh pemerintah tersebut diperhitungkan dengan PPh Pasal 21 yang ditanggung oleh pemerintah pada bulan berikutnya melalui Surat Pemberitahuan Masa PPh Pasal 21.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dalam suatu Masa Pajak terjadi kesalahan pemotongan atas PPh Pasal 21 yang bersifat Final dari penghasilan berupa honorarium atau imbalan lain sehingga terdapat kelebihan penyetoran PPh Pasal 21 yang bersifat final, kelebihan penyetoran PPh Pasal 21 yang bersifat final tersebut dikembalikan sesuai tata cara pengembalian kelebihan pembayaran pajak sebagaimana ditetapkan dalam Peraturan Menteri Keuangan yang mengatur mengenai tata cara pengembalian kelebihan pembayaran pajak yang seharusnya tidak terutang.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14</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sebagaimana dimaksud dalam Pasal11 dan badan yang ditunjuk sebagaimana dimaksud dalam Pasal 12, memberikan bukti pemotongan PPh Pasal 21 yang Ditanggung Pemerintah kepada Pejabat Negara, PNS, Anggota TNI, Anggota POLRI, dan Pensiunannya paling lama 1 (satu) bulan setelah tahun kalender berakhir.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dan Anggota POLRI berhenti bekerja sebelum berakhirnya tahun kalender, bukti pemotongan PPh Pasal 21 sebagaimana dimaksud pada ayat (1) harus diberikan paling lama 1 (satu) bulan setelah yang bersangkutan berhenti bekerja.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sebagaimana dimaksud dalam Pasal11 dan badan yang ditunjuk sebagaimana dimaksud dalam Pasal 12 memberikan bukti pemotongan PPh Pasal 21 yang bersifat final atas penghasilan berupa honorarium atau imbalan lain dengan nama apapun paling lama pada akhir bulan dilakukannya pembayaran penghasilan tersebut.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15</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dipotong oleh Bendahara pemerintah sebagaimana dimaksud dalam Pasal 11 dan badan yang ditunjuk sebagaimana dimaksud dalam Pasal 12, wajib disetor ke Kantor Pos atau bank yang ditunjuk Menteri Keuangan, dalam jangka waktu sesuai dengan peraturan perundang-undangan.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sebagaimana dimaksud dalam Pasal 11 dan badan yang ditunjuk sebagaimana dimaksud dalam Pasal 12, wajib melaporkan pemotongan dan penyetoran PPh Pasal 21 untuk setiap Masa Pajak yang dilakukan melalui penyampaian Surat Pemberitahuan Masa PPh Pasal 21 ke Kantor Pelayanan Pajak tempat Bendahara pemerintah sebagaimana dimaksud dalam Pasal 11 dan badan yang ditunjuk sebagaimana dimaksud dalam Pasal 12 terdaftar, dalam jangka waktu sesuai dengan peraturan perundang-undangan.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VI</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KEWAJIBAN PEMOTONGAN PAJAK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16</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Pejabat Negara, PNS, Anggota TNI, Anggota POLRI, dan Pensiunan wajib membuat surat pernyataan yang berisi jumlah tanggungan keluarga pada: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awal tahun kalender;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saat mulai menjadi Pejabat Negara, PNS, Anggota TNI dan Anggota POLRI;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saat mulai pensiun,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3900" w:type="pct"/>
            <w:gridSpan w:val="4"/>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sebagai dasar penentuan Penghasilan Tidak Kena Pajak dan wajib menyerahkannya kepada bendahara pemerintah.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900" w:type="pct"/>
            <w:gridSpan w:val="4"/>
            <w:tcBorders>
              <w:top w:val="nil"/>
              <w:left w:val="nil"/>
              <w:bottom w:val="nil"/>
              <w:right w:val="nil"/>
            </w:tcBorders>
            <w:hideMark/>
          </w:tcPr>
          <w:p w:rsidR="00AD0346" w:rsidRPr="003C64BF" w:rsidRDefault="00AD0346" w:rsidP="00AD0346">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Pejabat Negara, PNS, Anggota TNI, atau Anggota POLRI berhenti bekerja, pindah, atau pensiun pada bagian tahun kalender, maka Bendahara pemerintah sebagaimana dimaksud dalam Pasal 11 dan badan yang ditunjuk sebagaimana dimaksud dalam Pasal 12 tempat bekerja yang lama wajib menyampaikan Bukti Pemotongan sebagaimana dimaksud dalam Pasal 14 ayat (2) kepada Bendahara pemerintah sebagaimana dimaksud dalam Pasal 11 dan badan yang ditunjuk sebagaimana dimaksud dalam Pasal 12: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tempat bekerja yang baru dalam hal yang bersangkutan pindah kerja;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700" w:type="pct"/>
            <w:gridSpan w:val="3"/>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yang membayar uang pensiun dalam hal yang bersangkutan mulai pensiun;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3900" w:type="pct"/>
            <w:gridSpan w:val="4"/>
            <w:tcBorders>
              <w:top w:val="nil"/>
              <w:left w:val="nil"/>
              <w:bottom w:val="nil"/>
              <w:right w:val="nil"/>
            </w:tcBorders>
            <w:hideMark/>
          </w:tcPr>
          <w:p w:rsidR="00AD0346" w:rsidRPr="003C64BF" w:rsidRDefault="00AD0346" w:rsidP="00AD0346">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paling lama 1 (satu) bulan setelah Pejabat Negara, PNS, Anggota TNI, atau Anggota POLRI berhenti bekerja, pindah, atau pensiun.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17</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PPh Pasal 21 yang ditanggung oleh Pemerintah sebagaimana dimaksud dalam Pasal 2 ayat (1) dan PPh Pasal 21 yang dipotong dengan tarif yang lebih tinggi sebagaimana dimaksud dalam Pasal 10 ayat (1) dapat dikreditkan dengan Pajak Penghasilan yang terutang atas seluruh penghasilan yang dilaporkan dalam Surat Pemberitahuan Tahunan Pajak Penghasilan Wajib Pajak orang pribadi.</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18</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Anggota POLRI, dan Pensiunannya, menerima atau memperoleh penghasilan lain yang tidak dikenakan Pajak Penghasilan bersifat final, di luar penghasilan tetap dan teratur setiap bulan yang menjadi beban APBN atau APBD, penghasilan lain tersebut digunggungkan dengan penghasilan tetap dan teratur setiap bulan dalam Surat Pemberitahuan Tahunan Pajak Penghasilan Wajib Pajak Orang Pribadi yang bersangkutan.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BAB VII</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KETENTUAN PENUTUP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19</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Tata cara penghitungan PPh Pasal 21 atas penghasilan tetap dan teratur setiap bulan sebagaimana dimaksud dalam Pasal 2 dan honorarium atau imbalan lain sebagaimana dimaksud dalam Pasal 3 yang diterima oleh Pejabat Negara, PNS, Anggota TNI, Anggota POLRI, dan Pensiunannya sesuai petunjuk umum dan contoh sebagaimana tercantum dalam Lampiran Peraturan Menteri Keuangan ini, yang merupakan bagian yang tidak terpisahkan dari Peraturan Menteri Keuangan ini.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20</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Dengan berlakunya Peraturan Menteri Keuangan ini, atas permintaan pembayaran penghasilan tetap dan teratur untuk bulan Januari 2011 yang telah dilakukan pemrosesan pada bulan Desember 2010, pengenaan PPh Pasal 21 dilakukan sesuai dengan ketentuan sebagaimana diatur dalam Peraturan Pemerintah Nomer 45 Tahun 1994 tentang Pajak Penghasilan Bagi Pejabat Negara, Pegawai Negeri Sipil, Anggota Angkatan Bersenjata Republik Indonesia, dan Para Pensiunan Atas Penghasilan yang Dibebankan kepada Keuangan Negara atau Keuangan Daerah beserta peraturan pelaksanaanya.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21</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Pada saat Peraturan Menteri Keuangan ini mulai berlaku, </w:t>
            </w:r>
            <w:hyperlink r:id="rId14" w:history="1">
              <w:r w:rsidRPr="003C64BF">
                <w:rPr>
                  <w:rFonts w:ascii="Book Antiqua" w:eastAsia="Times New Roman" w:hAnsi="Book Antiqua" w:cs="Times New Roman"/>
                  <w:color w:val="0000FF"/>
                  <w:szCs w:val="24"/>
                  <w:u w:val="single"/>
                </w:rPr>
                <w:t>Keputusan Menteri Keuangan Nomor 636/KMK.04/1994</w:t>
              </w:r>
            </w:hyperlink>
            <w:r w:rsidRPr="003C64BF">
              <w:rPr>
                <w:rFonts w:ascii="Book Antiqua" w:eastAsia="Times New Roman" w:hAnsi="Book Antiqua" w:cs="Times New Roman"/>
                <w:szCs w:val="24"/>
              </w:rPr>
              <w:t xml:space="preserve"> tentang Pengenaan Pajak Penghasilan bagi Pejabat Negara, Pegawai Negeri Sipil, Anggota Angkatan Bersenjata Republik Indonesia, dan para Pensiunan atas Penghasilan yang Dibebankan kepada Keuangan Negara atau Keuangan Daerah, dicabut dan dinyatakan tidak berlaku.</w:t>
            </w:r>
          </w:p>
        </w:tc>
      </w:tr>
      <w:tr w:rsidR="00AD0346" w:rsidRPr="003C64BF" w:rsidTr="00AD0346">
        <w:trPr>
          <w:trHeight w:val="16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 w:val="14"/>
                <w:szCs w:val="24"/>
              </w:rPr>
            </w:pPr>
          </w:p>
        </w:tc>
        <w:tc>
          <w:tcPr>
            <w:tcW w:w="4250" w:type="pct"/>
            <w:gridSpan w:val="6"/>
            <w:tcBorders>
              <w:top w:val="nil"/>
              <w:left w:val="nil"/>
              <w:bottom w:val="nil"/>
              <w:right w:val="nil"/>
            </w:tcBorders>
            <w:hideMark/>
          </w:tcPr>
          <w:p w:rsidR="00AD0346" w:rsidRPr="003C64BF" w:rsidRDefault="00AD0346" w:rsidP="00AD0346">
            <w:pPr>
              <w:spacing w:before="90" w:after="90" w:line="165" w:lineRule="atLeast"/>
              <w:jc w:val="center"/>
              <w:rPr>
                <w:rFonts w:ascii="Times New Roman" w:eastAsia="Times New Roman" w:hAnsi="Times New Roman" w:cs="Times New Roman"/>
                <w:szCs w:val="24"/>
              </w:rPr>
            </w:pPr>
            <w:r w:rsidRPr="003C64BF">
              <w:rPr>
                <w:rFonts w:ascii="Book Antiqua" w:eastAsia="Times New Roman" w:hAnsi="Book Antiqua" w:cs="Times New Roman"/>
                <w:szCs w:val="24"/>
              </w:rPr>
              <w:t>Pasal 22</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Peraturan Menteri Keuangan ini mulai berlaku pada tanggal pada tanggal 1 Januari 2011</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Agar setiap orang mengetahuinya, memerintahkan pengundangannya Peraturan Menteri Keuangan ini dengan penempatannya dalam Berita Negara Republik Indonesia.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before="18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Ditetapkan di Jakarta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pada tanggal 31 Desember 2010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MENTERI KEUANGAN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ttd.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911DF4">
            <w:pPr>
              <w:keepNext/>
              <w:keepLines/>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AGUS D.W. MARTOWARDOJO </w:t>
            </w: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4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Diundangkan di Jakarta </w:t>
            </w: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pada tanggal 31 Desember 2010</w:t>
            </w: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MENTERI HUKUM DAN HAK ASASI MANUSIA, </w:t>
            </w: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ttd.</w:t>
            </w: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PATRIALIS AKBAR</w:t>
            </w: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gridSpan w:val="4"/>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r>
      <w:tr w:rsidR="00AD0346" w:rsidRPr="003C64BF" w:rsidTr="00AD0346">
        <w:trPr>
          <w:trHeight w:val="255"/>
        </w:trPr>
        <w:tc>
          <w:tcPr>
            <w:tcW w:w="7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AD0346" w:rsidRPr="003C64BF" w:rsidRDefault="00AD0346" w:rsidP="00AD0346">
            <w:pPr>
              <w:spacing w:after="0" w:line="240" w:lineRule="auto"/>
              <w:rPr>
                <w:rFonts w:ascii="Times New Roman" w:eastAsia="Times New Roman" w:hAnsi="Times New Roman" w:cs="Times New Roman"/>
                <w:szCs w:val="24"/>
              </w:rPr>
            </w:pPr>
          </w:p>
        </w:tc>
        <w:tc>
          <w:tcPr>
            <w:tcW w:w="4100" w:type="pct"/>
            <w:gridSpan w:val="5"/>
            <w:tcBorders>
              <w:top w:val="nil"/>
              <w:left w:val="nil"/>
              <w:bottom w:val="nil"/>
              <w:right w:val="nil"/>
            </w:tcBorders>
            <w:hideMark/>
          </w:tcPr>
          <w:p w:rsidR="00AD0346"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BERITA NEGARA REPUBLIK INDONESIA TAHUN 2010 NOMOR 601</w:t>
            </w:r>
          </w:p>
        </w:tc>
      </w:tr>
    </w:tbl>
    <w:p w:rsidR="003C64BF" w:rsidRPr="003C64BF" w:rsidRDefault="00AD0346" w:rsidP="00AD0346">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br/>
      </w:r>
      <w:r w:rsidR="003C64BF" w:rsidRPr="003C64BF">
        <w:rPr>
          <w:rFonts w:ascii="Times New Roman" w:eastAsia="Times New Roman" w:hAnsi="Times New Roman" w:cs="Times New Roman"/>
          <w:szCs w:val="24"/>
        </w:rPr>
        <w:br w:type="page"/>
      </w:r>
    </w:p>
    <w:tbl>
      <w:tblPr>
        <w:tblW w:w="5000" w:type="pct"/>
        <w:tblCellMar>
          <w:left w:w="0" w:type="dxa"/>
          <w:right w:w="0" w:type="dxa"/>
        </w:tblCellMar>
        <w:tblLook w:val="04A0" w:firstRow="1" w:lastRow="0" w:firstColumn="1" w:lastColumn="0" w:noHBand="0" w:noVBand="1"/>
      </w:tblPr>
      <w:tblGrid>
        <w:gridCol w:w="4404"/>
        <w:gridCol w:w="4667"/>
      </w:tblGrid>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LAMPIRAN</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PERATURAN                MENTERI                KEUANGAN</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 xml:space="preserve">NOMOR </w:t>
            </w:r>
            <w:r w:rsidRPr="003C64BF">
              <w:rPr>
                <w:rFonts w:ascii="Book Antiqua" w:eastAsia="Times New Roman" w:hAnsi="Book Antiqua" w:cs="Times New Roman"/>
                <w:szCs w:val="24"/>
              </w:rPr>
              <w:t>262</w:t>
            </w:r>
            <w:r w:rsidRPr="003C64BF">
              <w:rPr>
                <w:rFonts w:ascii="Book Antiqua" w:eastAsia="Times New Roman" w:hAnsi="Book Antiqua" w:cs="Times New Roman"/>
                <w:sz w:val="18"/>
                <w:szCs w:val="20"/>
              </w:rPr>
              <w:t>/PMK.03/2010 TENTANG TATA CARA</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 xml:space="preserve">PEMOTONGAN  PAJAK  PENGHASILAN   PASAL 21 </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BAGI   PEJABAT   NEGARA,    PNS,    ANGGOTA TNI,</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ANGGOTA    POLRI   DAN   PENSIUNANNYA  ATAS</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PENGHASILAN        YANG        MENJADI          BEBAN</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ANGGARAN      PENDAPATAN       DAN     BELANJA</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before="100" w:beforeAutospacing="1" w:after="100" w:afterAutospacing="1" w:line="240" w:lineRule="auto"/>
              <w:ind w:right="150"/>
              <w:jc w:val="right"/>
              <w:rPr>
                <w:rFonts w:ascii="Times New Roman" w:eastAsia="Times New Roman" w:hAnsi="Times New Roman" w:cs="Times New Roman"/>
                <w:szCs w:val="24"/>
              </w:rPr>
            </w:pPr>
            <w:r w:rsidRPr="003C64BF">
              <w:rPr>
                <w:rFonts w:ascii="Book Antiqua" w:eastAsia="Times New Roman" w:hAnsi="Book Antiqua" w:cs="Times New Roman"/>
                <w:sz w:val="18"/>
                <w:szCs w:val="20"/>
              </w:rPr>
              <w:t>NEGARA  ATAU  ANGGARAN PENDAPATAN DAN</w:t>
            </w:r>
          </w:p>
        </w:tc>
      </w:tr>
      <w:tr w:rsidR="003C64BF" w:rsidRPr="003C64BF" w:rsidTr="003C64BF">
        <w:tc>
          <w:tcPr>
            <w:tcW w:w="30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1950" w:type="pct"/>
            <w:tcBorders>
              <w:top w:val="nil"/>
              <w:left w:val="nil"/>
              <w:bottom w:val="nil"/>
              <w:right w:val="nil"/>
            </w:tcBorders>
            <w:vAlign w:val="center"/>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 w:val="18"/>
                <w:szCs w:val="20"/>
              </w:rPr>
              <w:t>       BELANJA DAERAH</w:t>
            </w:r>
          </w:p>
        </w:tc>
      </w:tr>
    </w:tbl>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PETUNJUK UMUM DAN CONTOH PENGHITUNGAN </w:t>
      </w:r>
    </w:p>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PAJAK PENGHASILAN PASAL 21 BAGI </w:t>
      </w:r>
      <w:r w:rsidRPr="003C64BF">
        <w:rPr>
          <w:rFonts w:ascii="Book Antiqua" w:eastAsia="Times New Roman" w:hAnsi="Book Antiqua" w:cs="Times New Roman"/>
          <w:b/>
          <w:bCs/>
          <w:szCs w:val="24"/>
        </w:rPr>
        <w:br/>
        <w:t xml:space="preserve">PEJABAT NEGARA, PNS, ANGGOTA TNI, ANGGOTA POLRI, DAN PENSIUNANNYA </w:t>
      </w:r>
    </w:p>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b/>
          <w:bCs/>
          <w:szCs w:val="24"/>
        </w:rPr>
        <w:t>ATAS PENGHASILAN YANG MENJADI BEBAN APBN ATAU APBD</w:t>
      </w:r>
      <w:r w:rsidRPr="003C64BF">
        <w:rPr>
          <w:rFonts w:ascii="Book Antiqua" w:eastAsia="Times New Roman" w:hAnsi="Book Antiqua" w:cs="Times New Roman"/>
          <w:szCs w:val="24"/>
        </w:rPr>
        <w:t xml:space="preserve"> </w:t>
      </w:r>
    </w:p>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Times New Roman" w:eastAsia="Times New Roman" w:hAnsi="Times New Roman" w:cs="Times New Roman"/>
          <w:szCs w:val="24"/>
        </w:rPr>
        <w:t> </w:t>
      </w:r>
    </w:p>
    <w:tbl>
      <w:tblPr>
        <w:tblW w:w="5000" w:type="pct"/>
        <w:tblLayout w:type="fixed"/>
        <w:tblCellMar>
          <w:left w:w="0" w:type="dxa"/>
          <w:right w:w="0" w:type="dxa"/>
        </w:tblCellMar>
        <w:tblLook w:val="04A0" w:firstRow="1" w:lastRow="0" w:firstColumn="1" w:lastColumn="0" w:noHBand="0" w:noVBand="1"/>
      </w:tblPr>
      <w:tblGrid>
        <w:gridCol w:w="229"/>
        <w:gridCol w:w="434"/>
        <w:gridCol w:w="481"/>
        <w:gridCol w:w="290"/>
        <w:gridCol w:w="292"/>
        <w:gridCol w:w="386"/>
        <w:gridCol w:w="386"/>
        <w:gridCol w:w="1642"/>
        <w:gridCol w:w="281"/>
        <w:gridCol w:w="530"/>
        <w:gridCol w:w="317"/>
        <w:gridCol w:w="425"/>
        <w:gridCol w:w="250"/>
        <w:gridCol w:w="281"/>
        <w:gridCol w:w="158"/>
        <w:gridCol w:w="305"/>
        <w:gridCol w:w="923"/>
        <w:gridCol w:w="472"/>
        <w:gridCol w:w="989"/>
      </w:tblGrid>
      <w:tr w:rsidR="003C64BF" w:rsidRPr="003C64BF" w:rsidTr="003C64BF">
        <w:trPr>
          <w:trHeight w:val="285"/>
        </w:trPr>
        <w:tc>
          <w:tcPr>
            <w:tcW w:w="5000" w:type="pct"/>
            <w:gridSpan w:val="19"/>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BAGIAN PERTAMA: PETUNJUK UMUM PENGHITUNGAN PPh PASAL 21</w:t>
            </w:r>
          </w:p>
        </w:tc>
      </w:tr>
      <w:tr w:rsidR="003C64BF" w:rsidRPr="003C64BF" w:rsidTr="003C64BF">
        <w:trPr>
          <w:trHeight w:val="60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w:t>
            </w:r>
          </w:p>
        </w:tc>
        <w:tc>
          <w:tcPr>
            <w:tcW w:w="4874" w:type="pct"/>
            <w:gridSpan w:val="18"/>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PETUNJUK UMUM PENGHITUNGAN PPh PASAL 21 UNTUK PENGHASILAN TETAP DAN TERATUR SETIAP BULAN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874" w:type="pct"/>
            <w:gridSpan w:val="18"/>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untuk penghasilan tetap dan teratur setiap bulan dibedakan menjadi 2 (dua), yaitu: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masa atau bulanan yang menjadi dasar pemotongan PPh Pasal 21 yang terutang untuk setiap Masa Pajak, yang dilaporkan dalam SPT Masa PPh Pasal 21, selain Masa Pajak Desember atau Masa Pajak terakhir ;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kembali sebagai dasar pengisian 1721 A2 dan pemotongan PPh Pasal 21 yang terutang untuk Masa Pajak Desember atau Masa Pajak terakhir.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pada Masa Pajak Desember dilakukan bagi Pejabat Negara, PNS, Anggota TNI, atau Anggota POLRI yang bekerja sampai akhir tahun takwim dan bagi Pensiunan yang menerima penghasilan pensiun sampai akhir tahun takwim.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pada Masa Pajak terakhir dilakukan bagi Pejabat Negara, PNS, Anggota TNI, atau Anggota POLRI yang berhenti bekerja atau memasuki masa pensiun.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w:t>
            </w:r>
          </w:p>
        </w:tc>
        <w:tc>
          <w:tcPr>
            <w:tcW w:w="4369" w:type="pct"/>
            <w:gridSpan w:val="16"/>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Penghitungan Masa atau Bulanan Selain Masa Pajak Desember atau Masa Pajak Terakhir: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I.A.1</w:t>
            </w:r>
          </w:p>
        </w:tc>
        <w:tc>
          <w:tcPr>
            <w:tcW w:w="4049" w:type="pct"/>
            <w:gridSpan w:val="14"/>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Penghitungan PPh Pasa} 21 bagi Pejabat Negara, PNS, Anggota TNI, dan Anggota POLRI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untuk menghitung PPh Pasal 21 atas penghasilan tetap dan teratur setiap bulan, terlebih dahulu dihitung seluruh penghasilan bruto yang diterima selama sebulan, yang meliputi seluruh gaji dan tunjangan;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jumlah penghasilan neto sebulan yang diperoleh dengan cara mengurangi penghasilan bruto sebulan dengan biaya jabatan dan iuran pensiun;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penghasilan neto setahun, yaitu jumlah penghasilan neto sebulan dikalikan 12 (dua belas); </w:t>
            </w:r>
          </w:p>
        </w:tc>
      </w:tr>
      <w:tr w:rsidR="003C64BF" w:rsidRPr="003C64BF" w:rsidTr="003C64BF">
        <w:trPr>
          <w:trHeight w:val="11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d.</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atau Anggota POLRI mulai bekerja setelah bulan Januari, maka penghasilan neto setahun dihitung dengan mengalikan penghasilan neto sebulan dengan banyaknya bulan sejak Pejabat Negara, PNS, Anggota TNI, atau Anggota POLRI mulai bekerja sampai dengan bulan Desember;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e.</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Penghasilan Kena Pajak yaitu sebesar Penghasilan neto setahun sebagaimana dimaksud pada hurut c atau hurut d, dikurangi dengan Penghasilan Tidak Kena Pajak (PTKP);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f.</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atas perkiraan penghasilan setahun dihitung dengan menerapkan tarif Pasal 17 UU PPh terhadap Penghasilan Kena Pajak;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21"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PPh Pasal 21 yang ditanggung oleh Pemerintah sebulan, yaitu: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PPh Pasal 21 terutang atas penghasilan sebagaimana dimaksud pada huruf c dibagi dengan 12 (dua belas);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623" w:type="pct"/>
            <w:gridSpan w:val="1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PPh Pasal 21 terutang atas penghasilan sebagaimana dimaksud pada huruf d dibagi banyaknya bulan yang menjadi faktor pengali sebagaimana dimaksud pada huruf d.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I.A.2</w:t>
            </w:r>
          </w:p>
        </w:tc>
        <w:tc>
          <w:tcPr>
            <w:tcW w:w="4049" w:type="pct"/>
            <w:gridSpan w:val="14"/>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Penghitungan PPh Pasal 21 bagi Pensiunan</w:t>
            </w:r>
            <w:r w:rsidRPr="003C64BF">
              <w:rPr>
                <w:rFonts w:ascii="Book Antiqua" w:eastAsia="Times New Roman" w:hAnsi="Book Antiqua" w:cs="Times New Roman"/>
                <w:szCs w:val="24"/>
              </w:rPr>
              <w:t xml:space="preserve">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atas penghasilan tetap dan teratur setiap bulan yang diterima penerima pensiun pada tahun pertama pensiun adalah sebagai berikut: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terlebih dahulu dihitung penghasilan neto sebulan yang diperoleh dengan cara mengurangi penghasilan bruto dengan biaya pensiun, kemudian dikalikan banyaknya bulan sejak pegawai yang bersangkutan menerima pensiun sampai dengan bulan Desember; </w:t>
            </w:r>
          </w:p>
        </w:tc>
      </w:tr>
      <w:tr w:rsidR="003C64BF" w:rsidRPr="003C64BF" w:rsidTr="003C64BF">
        <w:trPr>
          <w:trHeight w:val="11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penghasilan neto pensiun sebagaimana tersebut pada angka 1) ditambah dengan penghasilan neto dalam tahun yang bersangkutan yang diterima sebelum Pejabat Negara, PNS, Anggota TNI, atau Anggota POLRI pensiun sesuai dengan yang tercantum dalam bukti pemotongan PPh Pasal 21 sebelum pensiun;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untuk menghitung Penghasilan Kena Pajak, jumlah penghasilan pada angka 2) tersebut dikurangi dengan PTKP, dan selanjutnya dihitung PPh Pasal 21 dengan menerapkan tarif Pasal 17 UU PPh terhadap Penghasilan Kena Pajak tersebut; </w:t>
            </w:r>
          </w:p>
        </w:tc>
      </w:tr>
      <w:tr w:rsidR="003C64BF" w:rsidRPr="003C64BF" w:rsidTr="003C64BF">
        <w:trPr>
          <w:trHeight w:val="11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atas uang pensiun dalam tahun yang bersangkutan dihitung dengan cara mengurangi PPh Pasal 21 dalam angka 3) dengan PPh Pasal 21 yang terutang dari Bendahara sebelum Pejabat Negara, PNS, Anggota TNI, atau Anggota POLRI pensiun sesuai dengan yang tercantum dalam bukti pemotongan PPh Pasal 21 sebelum pensiun;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ditanggung oleh Pemerintah sebulan adalah sebesar PPh Pasal 21 seperti tersebut dalam angka 4) dibagi dengan banyaknya bulan sebagaimana dimaksud dalam angka 1).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atas penghasilan tetap dan teratur setiap bulan yang diterima penerima pensiun pada tahun kedua dan seterusnya adalah sebagai berikut: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terlebih dahulu dihitung penghasilan neto sebulan yang diperoleh dengan cara mengurangi penghasilan bruto dengan biaya pensiun;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perkiraan penghasilan neto setahun, yaitu jumlah penghasilan neto sebulan dikalikan 12 (dua belas);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untuk menghitung Penghasilan Kena Pajak, jumlah penghasilan pada angka 2) tersebut dikurangi dengan PTKP, dan selanjutnya dihitung PPh Pasal 21 dengan menerapkan tarif Pasal 17 UU PPh terhadap Penghasilan Kena Pajak tersebut;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w:t>
            </w:r>
          </w:p>
        </w:tc>
        <w:tc>
          <w:tcPr>
            <w:tcW w:w="3623" w:type="pct"/>
            <w:gridSpan w:val="1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selanjutnya dihitung PPh Pasal 21 sebulan, yang ditanggung oleh Pemerintah, yaitu sebesar jumlah PPh Pasal 21 setahun atas penghasilan sebagaimana dimaksud pada angka 3) dibagi dengan 12 (dua belas); </w:t>
            </w:r>
          </w:p>
        </w:tc>
      </w:tr>
      <w:tr w:rsidR="003C64BF" w:rsidRPr="003C64BF" w:rsidTr="003C64BF">
        <w:trPr>
          <w:trHeight w:val="600"/>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I.A.3</w:t>
            </w:r>
          </w:p>
        </w:tc>
        <w:tc>
          <w:tcPr>
            <w:tcW w:w="4049" w:type="pct"/>
            <w:gridSpan w:val="14"/>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Penghitungan PPh Pasal 21 atas Gaji, Uang Pensiun, dan Tunjangan Ke-13 (Ketiga belas) atau Rapel Gaji dan/atau Tunjangan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kepada Pejabat Negara, PNS, Anggota TNI, Anggota POLRI dan Pensiunan diberikan Gaji, Uang Pensiun, dan Tunjangan ke-13 (ketiga belas) atau rapel gaji dan/atau tunjangan, maka PPh Pasal 21 dihitung dengan cara sebagai berikut: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dihitung PPh Pasal 21 atas penghasilan tetap dan teratur setiap bulan yang disetahunkan ditambah dengan penghasilan berupa gaji uang pensiun dan tunjangan ke-13 (ketiga belas).</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dihitung PPh Pasal 21 atas penghasilan tetap dan teratur setiap bulan yang disetahunkan tanpa gaji dan tunjangan ke-13 (ketiga belas) atau uang pensiun dan tunjangan ke-13 (ketiga belas).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selisih antara PPh Pasal 21 menurut penghitungan angka 1) dan angka 2) adalah PPh Pasal 21 atas penghasilan berupa gaji dan tunjangan ke-13 (ketiga belas) atau uang pensiun dan tunjangan ke-13 (ketiga belas). </w:t>
            </w:r>
          </w:p>
        </w:tc>
      </w:tr>
      <w:tr w:rsidR="003C64BF" w:rsidRPr="003C64BF" w:rsidTr="003C64BF">
        <w:trPr>
          <w:trHeight w:val="17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Pejabat Negara, PNS, Anggota TNI, Anggota POLRI dan Pensiunan baru mulai bekerja/Pensiun setelah bulan Januari, maka PPh Pasal 21 atas Gaji dan Tunjangan ke-13 (ketiga belas) atau Uang Pensiun dan Tunjangan ke-13 (Ketiga Belas) tersebut dihitung dengan cara sebagaimana pada huruf a dengan memperhatikan ketentuan mengenai Penghitungan PPh Pasal 21 Bulanan atas penghasilan tetap dan teratur setiap bulan pada butir I.A.1 huruf b angka 2), 4) dan 5) di atas.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3836" w:type="pct"/>
            <w:gridSpan w:val="13"/>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kepada Pejabat Negara, PNS, Anggota TNI, Anggota POLRI dan Pensiunan dibayar (rapel gaji ), maka PPh Pasal 21 dihitung dan dipotong dengan cara sebagaimana dimaksud pada huruf a. </w:t>
            </w:r>
          </w:p>
        </w:tc>
      </w:tr>
      <w:tr w:rsidR="003C64BF" w:rsidRPr="003C64BF" w:rsidTr="003C64BF">
        <w:trPr>
          <w:trHeight w:val="915"/>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I.A.4</w:t>
            </w:r>
          </w:p>
        </w:tc>
        <w:tc>
          <w:tcPr>
            <w:tcW w:w="4049" w:type="pct"/>
            <w:gridSpan w:val="14"/>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Penghitungan PPh Pasal 21 bagi Pejabat Negara, PNS, Anggota TNI, dan Anggota POLRI yang menerima tambahan penghasilan yang bersifat tetap dan teratur setiap bulan yang pembayarannya terpisah dari pembayaran gaji. </w:t>
            </w:r>
          </w:p>
        </w:tc>
      </w:tr>
      <w:tr w:rsidR="003C64BF" w:rsidRPr="003C64BF" w:rsidTr="00911DF4">
        <w:trPr>
          <w:trHeight w:val="1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terdapat tambahan penghasilan yang bersifat tetap dan teratur setiap bulan yang pembayarannya terpisah dari pembayaran gaji kepada seorang Pejabat Negara, PNS, Anggota TNI, atau Anggota POLRI, baik karena ditugaskan pada Satuan Kerja lain atau adanya tambahan tunjangan tertentu, maka PPh Pasal 21 dihitung dengan cara sebagai berikut: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yang membayarkan gaji pokok melakukan perhitungan PPh Pasal 21 sesuai dengan petunjuk sebagaimana dimaksud dalam butir I.A.1 dan/atau I.A.3.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3836" w:type="pct"/>
            <w:gridSpan w:val="13"/>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yang membayarkan tambahan penghasilan tetap dan teratur setiap bulan melakukan perhitungan PPh Pasal 21 sebagai berikut: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3623" w:type="pct"/>
            <w:gridSpan w:val="1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dihitung PPh Pasal 21 atas keseluruhan penghasilan tetap dan teratur yang diterima setiap bulan yang disetahunkan, baik atas gaji sebagaimana dimaksud pada huruf a maupun atas tambahan penghasilan.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13"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3623" w:type="pct"/>
            <w:gridSpan w:val="1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terutang atas tambahan penghasilan yang bersifat tetap dan teratur setiap bulan adalah sebesar selisih antara PPh Pasal 21 yang dihitung sebagaimana dimaksud pada butir 1) dengan PPh Pasal 21 yang dihitung sebagaimana dimaksud pada huruf a.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I.B.</w:t>
            </w:r>
          </w:p>
        </w:tc>
        <w:tc>
          <w:tcPr>
            <w:tcW w:w="4369" w:type="pct"/>
            <w:gridSpan w:val="16"/>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Terutang Pada Masa Pajak Desember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Penghitungan PPh Pasal 21 terutang pada Masa Pajak Desember adalah sebagai berikut:</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Dihitung PPh Pasal 21 terutang atas seluruh penghasilan tetap dan teratur setiap bulan yang diterima dalam tahun kalender yang bersangkutan. </w:t>
            </w:r>
          </w:p>
        </w:tc>
      </w:tr>
      <w:tr w:rsidR="003C64BF" w:rsidRPr="003C64BF" w:rsidTr="003C64BF">
        <w:trPr>
          <w:trHeight w:val="11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untuk Masa Pajak Desember adalah sebesar selisih antara PPh Pasal 21 terutang atas seluruh penghasilan tetap dan teratur setiap bulan yang diterima dalam tahun kalender yang bersangkutan, sebagaimana dimaksud dalam huruf a, dengan PPh Pasal 21 yang telah dihitung tiap Masa Pajak dalam tahun kalender yang bersangkutan sampai dengan Masa Pajak November. </w:t>
            </w:r>
          </w:p>
        </w:tc>
      </w:tr>
      <w:tr w:rsidR="003C64BF" w:rsidRPr="003C64BF" w:rsidTr="003C64BF">
        <w:trPr>
          <w:trHeight w:val="17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4049" w:type="pct"/>
            <w:gridSpan w:val="14"/>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dalam PPh Pasal 21 yang telah dihitung tiap Masa Pajak dalam tahun kalender yang bersangkutan sampai dengan Masa Pajak November terdapat tambahan PPh Pasal 21 sebesar 20% lebih tinggi daripada tarif PPh umum karena belum memiliki NPWP maka besarnya PPh Pasal 21 yang telah dihitung tiap Masa Pajak dalam tahun kalender yang bersangkutan sampai dengan Masa Pajak November sebagaimana dimaksud pada huruf b tidak termasuk tambahan PPh Pasal 21 sebesar 20% tersebut.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I.C.</w:t>
            </w:r>
          </w:p>
        </w:tc>
        <w:tc>
          <w:tcPr>
            <w:tcW w:w="4369" w:type="pct"/>
            <w:gridSpan w:val="16"/>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Penghitungan PPh Pasal 21 Terutang Pada Masa Pajak Terakhir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terutang pada Masa Pajak terakhir adalah sebagai berikut: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Dihitung PPh Pasal 21 terutang atas seluruh penghasilan tetap dan teratur setiap bulan yang diterima dalam tahun kalender yang bersangkutan yang disetahunkan. </w:t>
            </w:r>
          </w:p>
        </w:tc>
      </w:tr>
      <w:tr w:rsidR="003C64BF" w:rsidRPr="003C64BF" w:rsidTr="003C64BF">
        <w:trPr>
          <w:trHeight w:val="14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321" w:type="pct"/>
            <w:gridSpan w:val="2"/>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049" w:type="pct"/>
            <w:gridSpan w:val="14"/>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untuk Masa Pajak terakhir adalah sebesar selisih antara PPh Pasal 21 terutang atas seluruh penghasilan tetap dan teratur setiap bulan yang diterima dalam tahun kalender yang bersangkutan yang disetahunkan, sebagaimana dimaksud dalam huruf a, dengan PPh Pasal 21 yang telah dihitung tiap Masa Pajak dalam tahun kalender yang bersangkutan sampai dengan bulan sebelumnya.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II.</w:t>
            </w:r>
          </w:p>
        </w:tc>
        <w:tc>
          <w:tcPr>
            <w:tcW w:w="4874" w:type="pct"/>
            <w:gridSpan w:val="18"/>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PETUNJUK UMUM PENGHITUNGAN PPh PASAL 21 SELAIN PENGHASILAN PADA BUTIR I BERUPA HONORARIUM ATAU IMBALAN LAIN DENGAN NAMA APAPUN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635" w:type="pct"/>
            <w:gridSpan w:val="17"/>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dihitung dengan menerapkan tarif PPh Final atas jumlah penghasilan bruto untuk setiap kali pembayaran.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635" w:type="pct"/>
            <w:gridSpan w:val="17"/>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Tarif PPh Final diterapkan dengan memperhatikan golongan dari PNS dan golongan pangkat bagi Anggota TNI dan Anggota POLRI. </w:t>
            </w:r>
          </w:p>
        </w:tc>
      </w:tr>
      <w:tr w:rsidR="003C64BF" w:rsidRPr="003C64BF" w:rsidTr="003C64BF">
        <w:trPr>
          <w:trHeight w:val="1170"/>
        </w:trPr>
        <w:tc>
          <w:tcPr>
            <w:tcW w:w="126"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c.</w:t>
            </w:r>
          </w:p>
        </w:tc>
        <w:tc>
          <w:tcPr>
            <w:tcW w:w="4635" w:type="pct"/>
            <w:gridSpan w:val="17"/>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Dalam hal jumlah penghasilan bruto atas honoraraium atau imbalan lain sebagaimana dimaksud pada huruf a tidak dapat dipisahkan dari jumlah pembayaran lainnya sehubungan dengan pembayaran yang bersifat </w:t>
            </w:r>
            <w:r w:rsidRPr="003C64BF">
              <w:rPr>
                <w:rFonts w:ascii="Book Antiqua" w:eastAsia="Times New Roman" w:hAnsi="Book Antiqua" w:cs="Times New Roman"/>
                <w:i/>
                <w:iCs/>
                <w:szCs w:val="24"/>
              </w:rPr>
              <w:t>lump</w:t>
            </w:r>
            <w:r w:rsidRPr="003C64BF">
              <w:rPr>
                <w:rFonts w:ascii="Book Antiqua" w:eastAsia="Times New Roman" w:hAnsi="Book Antiqua" w:cs="Times New Roman"/>
                <w:szCs w:val="24"/>
              </w:rPr>
              <w:t xml:space="preserve"> </w:t>
            </w:r>
            <w:r w:rsidRPr="003C64BF">
              <w:rPr>
                <w:rFonts w:ascii="Book Antiqua" w:eastAsia="Times New Roman" w:hAnsi="Book Antiqua" w:cs="Times New Roman"/>
                <w:i/>
                <w:iCs/>
                <w:szCs w:val="24"/>
              </w:rPr>
              <w:t>sum</w:t>
            </w:r>
            <w:r w:rsidRPr="003C64BF">
              <w:rPr>
                <w:rFonts w:ascii="Book Antiqua" w:eastAsia="Times New Roman" w:hAnsi="Book Antiqua" w:cs="Times New Roman"/>
                <w:szCs w:val="24"/>
              </w:rPr>
              <w:t xml:space="preserve"> maka besarnya penghasilan bruto yang menjadi dasar penerapan tarif PPh Final adalah sebesar jumlah seluruh pembayaran </w:t>
            </w:r>
            <w:r w:rsidRPr="003C64BF">
              <w:rPr>
                <w:rFonts w:ascii="Book Antiqua" w:eastAsia="Times New Roman" w:hAnsi="Book Antiqua" w:cs="Times New Roman"/>
                <w:i/>
                <w:iCs/>
                <w:szCs w:val="24"/>
              </w:rPr>
              <w:t>lump</w:t>
            </w:r>
            <w:r w:rsidRPr="003C64BF">
              <w:rPr>
                <w:rFonts w:ascii="Book Antiqua" w:eastAsia="Times New Roman" w:hAnsi="Book Antiqua" w:cs="Times New Roman"/>
                <w:szCs w:val="24"/>
              </w:rPr>
              <w:t xml:space="preserve"> </w:t>
            </w:r>
            <w:r w:rsidRPr="003C64BF">
              <w:rPr>
                <w:rFonts w:ascii="Book Antiqua" w:eastAsia="Times New Roman" w:hAnsi="Book Antiqua" w:cs="Times New Roman"/>
                <w:i/>
                <w:iCs/>
                <w:szCs w:val="24"/>
              </w:rPr>
              <w:t>sum</w:t>
            </w:r>
            <w:r w:rsidRPr="003C64BF">
              <w:rPr>
                <w:rFonts w:ascii="Book Antiqua" w:eastAsia="Times New Roman" w:hAnsi="Book Antiqua" w:cs="Times New Roman"/>
                <w:szCs w:val="24"/>
              </w:rPr>
              <w:t xml:space="preserve"> tersebut. </w:t>
            </w:r>
          </w:p>
        </w:tc>
      </w:tr>
      <w:tr w:rsidR="003C64BF" w:rsidRPr="003C64BF" w:rsidTr="003C64BF">
        <w:trPr>
          <w:trHeight w:val="255"/>
        </w:trPr>
        <w:tc>
          <w:tcPr>
            <w:tcW w:w="5000" w:type="pct"/>
            <w:gridSpan w:val="19"/>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BAGIAN KEDUA : CONTOH PENGHITUNGAN PPh PASAL 21</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w:t>
            </w:r>
          </w:p>
        </w:tc>
        <w:tc>
          <w:tcPr>
            <w:tcW w:w="4874" w:type="pct"/>
            <w:gridSpan w:val="18"/>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CONTOH PENGHITUNGAN PPh PASAL 21 UNTUK PENGHASILAN TETAP DAN TERATUR SETIAP BULAN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Contoh Penghitungan PPh Pasal 21 bagi Pejabat Negara, PNS, Anggota TN I, dan Anggota POLRI, Selain Masa Pajak Desember dan Masa Pajak Terakhir: </w:t>
            </w:r>
          </w:p>
        </w:tc>
      </w:tr>
      <w:tr w:rsidR="003C64BF" w:rsidRPr="003C64BF" w:rsidTr="003C64BF">
        <w:trPr>
          <w:trHeight w:val="570"/>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I.A.1</w:t>
            </w:r>
          </w:p>
        </w:tc>
        <w:tc>
          <w:tcPr>
            <w:tcW w:w="4369" w:type="pct"/>
            <w:gridSpan w:val="16"/>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Contoh Penghitungan PPh Pasal 21 bagi Pejabat Negara, PNS, Anggota TNI, dan Anggota POLRI yang Bekerja dari Januari sampai dengan Desember. </w:t>
            </w:r>
          </w:p>
        </w:tc>
      </w:tr>
      <w:tr w:rsidR="003C64BF" w:rsidRPr="003C64BF" w:rsidTr="003C64BF">
        <w:trPr>
          <w:trHeight w:val="870"/>
        </w:trPr>
        <w:tc>
          <w:tcPr>
            <w:tcW w:w="126"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65"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4369" w:type="pct"/>
            <w:gridSpan w:val="16"/>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Aprinta, Pegawai Negeri Sipil Golongan III/c, menduduki eselon IV.a status kawin, mempunyai 3 orang tanggungan, telah memiliki NPWP, bekerja di Kantor Pelayanan Pemerintahan A (KPP A), menerima penghasilan tetap dan teratur setiap bulan sebagai berikut: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 Pokok</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Istri</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540.000,00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Beras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198.000,00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82" w:type="pct"/>
            <w:gridSpan w:val="5"/>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Times New Roman" w:eastAsia="Times New Roman" w:hAnsi="Times New Roman" w:cs="Times New Roman"/>
                <w:szCs w:val="24"/>
                <w:u w:val="single"/>
              </w:rPr>
              <w:t xml:space="preserve">                </w:t>
            </w:r>
            <w:r w:rsidRPr="003C64BF">
              <w:rPr>
                <w:rFonts w:ascii="Book Antiqua" w:eastAsia="Times New Roman" w:hAnsi="Book Antiqua" w:cs="Times New Roman"/>
                <w:szCs w:val="24"/>
                <w:u w:val="single"/>
              </w:rPr>
              <w:t>43,00</w:t>
            </w:r>
            <w:r w:rsidRPr="003C64BF">
              <w:rPr>
                <w:rFonts w:ascii="Times New Roman" w:eastAsia="Times New Roman" w:hAnsi="Times New Roman" w:cs="Times New Roman"/>
                <w:szCs w:val="24"/>
                <w:u w:val="single"/>
              </w:rPr>
              <w:t xml:space="preserve">   </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before="100" w:beforeAutospacing="1" w:after="45"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penghasilan bruto </w:t>
            </w:r>
          </w:p>
        </w:tc>
        <w:tc>
          <w:tcPr>
            <w:tcW w:w="175" w:type="pct"/>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82" w:type="pct"/>
            <w:gridSpan w:val="5"/>
            <w:tcBorders>
              <w:top w:val="nil"/>
              <w:left w:val="nil"/>
              <w:bottom w:val="nil"/>
              <w:right w:val="nil"/>
            </w:tcBorders>
            <w:hideMark/>
          </w:tcPr>
          <w:p w:rsidR="003C64BF" w:rsidRPr="003C64BF" w:rsidRDefault="003C64BF" w:rsidP="003C64BF">
            <w:pPr>
              <w:spacing w:before="100" w:beforeAutospacing="1" w:after="45"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3.296.773,00</w:t>
            </w: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90"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bulanan untuk bulan Januari s.d November: </w:t>
            </w: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Pokok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Istri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Anak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7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540.000,00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16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c>
          <w:tcPr>
            <w:tcW w:w="2098" w:type="pct"/>
            <w:gridSpan w:val="7"/>
            <w:tcBorders>
              <w:top w:val="nil"/>
              <w:left w:val="nil"/>
              <w:bottom w:val="nil"/>
              <w:right w:val="nil"/>
            </w:tcBorders>
            <w:hideMark/>
          </w:tcPr>
          <w:p w:rsidR="003C64BF" w:rsidRPr="003C64BF" w:rsidRDefault="003C64BF" w:rsidP="003C64BF">
            <w:pPr>
              <w:spacing w:after="0" w:line="165" w:lineRule="atLeast"/>
              <w:rPr>
                <w:rFonts w:ascii="Times New Roman" w:eastAsia="Times New Roman" w:hAnsi="Times New Roman" w:cs="Times New Roman"/>
                <w:szCs w:val="24"/>
              </w:rPr>
            </w:pPr>
            <w:r w:rsidRPr="003C64BF">
              <w:rPr>
                <w:rFonts w:ascii="Book Antiqua" w:eastAsia="Times New Roman" w:hAnsi="Book Antiqua" w:cs="Times New Roman"/>
                <w:szCs w:val="24"/>
              </w:rPr>
              <w:t>Tunjangan Beras</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c>
          <w:tcPr>
            <w:tcW w:w="155" w:type="pct"/>
            <w:tcBorders>
              <w:top w:val="nil"/>
              <w:left w:val="nil"/>
              <w:bottom w:val="nil"/>
              <w:right w:val="nil"/>
            </w:tcBorders>
            <w:hideMark/>
          </w:tcPr>
          <w:p w:rsidR="003C64BF" w:rsidRPr="003C64BF" w:rsidRDefault="003C64BF" w:rsidP="003C64BF">
            <w:pPr>
              <w:spacing w:after="0" w:line="165" w:lineRule="atLeast"/>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165" w:lineRule="atLeast"/>
              <w:jc w:val="right"/>
              <w:rPr>
                <w:rFonts w:ascii="Times New Roman" w:eastAsia="Times New Roman" w:hAnsi="Times New Roman" w:cs="Times New Roman"/>
                <w:szCs w:val="24"/>
              </w:rPr>
            </w:pPr>
            <w:r w:rsidRPr="003C64BF">
              <w:rPr>
                <w:rFonts w:ascii="Book Antiqua" w:eastAsia="Times New Roman" w:hAnsi="Book Antiqua" w:cs="Times New Roman"/>
                <w:szCs w:val="24"/>
              </w:rPr>
              <w:t>198.000,00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14"/>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Jumlah penghasilan bruto</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3.296.773,00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37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3.296.773,00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164.839,00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Iuran pensiun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4,75% X Rp 2.558.730,00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121.540,00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286.379,00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3.010.394,00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disetahunkan: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 x Rp 3.010.394,00</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36.124.728,00</w:t>
            </w:r>
            <w:r w:rsidRPr="003C64BF">
              <w:rPr>
                <w:rFonts w:ascii="Times New Roman" w:eastAsia="Times New Roman" w:hAnsi="Times New Roman" w:cs="Times New Roman"/>
                <w:szCs w:val="24"/>
                <w:u w:val="single"/>
              </w:rPr>
              <w:t>.</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15.840.000,00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tambahan 3 orang tanggungan</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Rpl.320.000,00)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Kena Pajak (PKP)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15.004.728,00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atas gaji setahun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15.004.000,00 = Rp 750.200,00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 21 atas gaji sebulan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750.200,00 : 12                     = Rp 62.516,00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4210" w:type="pct"/>
            <w:gridSpan w:val="1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terutang setiap bulan sebesar Rp62.516,00 Ditanggung Pemerintah.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4210" w:type="pct"/>
            <w:gridSpan w:val="1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Aprinta belum memiliki NPWP maka besarnya PPh Pasal 21 yang terutang setiap bulan adalah: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120% x Rp62.516,00 = Rp75.019,00</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Atas tambahan PPh 21 terutang yaitu sebesar Rp12.503 (Rp75.019,00-Rp62.516,00) tidak Ditanggung Pemerintah sehingga Bendahara Pemerintah wajib memotong dari gaji dan tunjangan Aprinta dan menyetorkannya ke Kas Negara. </w:t>
            </w:r>
          </w:p>
        </w:tc>
      </w:tr>
      <w:tr w:rsidR="003C64BF" w:rsidRPr="003C64BF" w:rsidTr="003C64BF">
        <w:trPr>
          <w:trHeight w:val="21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before="90" w:after="90" w:line="210" w:lineRule="atLeast"/>
              <w:rPr>
                <w:rFonts w:ascii="Times New Roman" w:eastAsia="Times New Roman" w:hAnsi="Times New Roman" w:cs="Times New Roman"/>
                <w:szCs w:val="24"/>
              </w:rPr>
            </w:pPr>
            <w:r w:rsidRPr="003C64BF">
              <w:rPr>
                <w:rFonts w:ascii="Book Antiqua" w:eastAsia="Times New Roman" w:hAnsi="Book Antiqua" w:cs="Times New Roman"/>
                <w:b/>
                <w:bCs/>
                <w:szCs w:val="24"/>
              </w:rPr>
              <w:t>I.A.2</w:t>
            </w:r>
          </w:p>
        </w:tc>
        <w:tc>
          <w:tcPr>
            <w:tcW w:w="4369" w:type="pct"/>
            <w:gridSpan w:val="16"/>
            <w:tcBorders>
              <w:top w:val="nil"/>
              <w:left w:val="nil"/>
              <w:bottom w:val="nil"/>
              <w:right w:val="nil"/>
            </w:tcBorders>
            <w:hideMark/>
          </w:tcPr>
          <w:p w:rsidR="003C64BF" w:rsidRPr="003C64BF" w:rsidRDefault="003C64BF" w:rsidP="003C64BF">
            <w:pPr>
              <w:spacing w:before="90" w:after="90" w:line="210" w:lineRule="atLeast"/>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Contoh Penghitungan PPh Pasal 21 bagi Pejabat Negara, PNS, Anggota TNI, dan Anggota POLRI yang mulai bekerja dalam tahun berjalan </w:t>
            </w:r>
          </w:p>
        </w:tc>
      </w:tr>
      <w:tr w:rsidR="003C64BF" w:rsidRPr="003C64BF" w:rsidTr="003C64BF">
        <w:trPr>
          <w:trHeight w:val="21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4369" w:type="pct"/>
            <w:gridSpan w:val="16"/>
            <w:tcBorders>
              <w:top w:val="nil"/>
              <w:left w:val="nil"/>
              <w:bottom w:val="nil"/>
              <w:right w:val="nil"/>
            </w:tcBorders>
            <w:hideMark/>
          </w:tcPr>
          <w:p w:rsidR="003C64BF" w:rsidRPr="003C64BF" w:rsidRDefault="003C64BF" w:rsidP="003C64BF">
            <w:pPr>
              <w:spacing w:before="90" w:after="45" w:line="210" w:lineRule="atLeast"/>
              <w:rPr>
                <w:rFonts w:ascii="Times New Roman" w:eastAsia="Times New Roman" w:hAnsi="Times New Roman" w:cs="Times New Roman"/>
                <w:szCs w:val="24"/>
              </w:rPr>
            </w:pPr>
            <w:r w:rsidRPr="003C64BF">
              <w:rPr>
                <w:rFonts w:ascii="Book Antiqua" w:eastAsia="Times New Roman" w:hAnsi="Book Antiqua" w:cs="Times New Roman"/>
                <w:szCs w:val="24"/>
              </w:rPr>
              <w:t xml:space="preserve">Hapid Abdul Goffar merupakan pejabat negara pada sebuah lembaga negara yang baru diangkat pada bulan Juli 2010, telah menikah dengan 4 orang tanggungan anak dan telah memiliki NPWP. Penghasilan yang dibayarkan sehubungan dengan statusnya sebagai pejabat negara: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 Kehormatan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10.000.000,00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Istri</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1.000.000,00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400.000,00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10.000.000,00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Perhitungan PPh Pasal 21 untuk Masa Pajak Juli sampai dengan Masa Pajak November 2010 dihitung sebagai berikut: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Kehormatan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10.000.000,00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lstri</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1.000.000,00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400.000,00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10.000.000,00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Jumlah penghasilan bruto</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21.400.000,00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5% X Rp 21.400.000,00 atau maksimum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Rp500.000 per bulan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500.000,00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4,75% X Rpll.400.000,00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 541.500,00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1.041.500,00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20.358.500,00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setahun: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6 x Rp 20.358.500,00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122.151.000,00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15.840.000,00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3 orang tanggungan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Kena Pajak (PKP)</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101.031.000,00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I.A.3</w:t>
            </w:r>
          </w:p>
        </w:tc>
        <w:tc>
          <w:tcPr>
            <w:tcW w:w="4369" w:type="pct"/>
            <w:gridSpan w:val="16"/>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Contoh Penghitungan PPh Pasal 21 atas Gaji dan Tunjangan Ke-13 atau Uang Pensiun dan Tunjangan Ke-13</w:t>
            </w:r>
            <w:r w:rsidRPr="003C64BF">
              <w:rPr>
                <w:rFonts w:ascii="Book Antiqua" w:eastAsia="Times New Roman" w:hAnsi="Book Antiqua" w:cs="Times New Roman"/>
                <w:szCs w:val="24"/>
              </w:rPr>
              <w:t xml:space="preserve">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Aprinta sebagaimana contoh I.A.1 pada bulan Juli 2010 menerima gaji dan tunjangan ke-13, maka perhitungan PPh Pasal 21 atas gaji dan tunjangan ke-13 adalah sebagai berikut: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dan tunjangan bulan Juli 2010: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GajiPokok</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lstri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540.000,00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Tujangan beras</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198.000,00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Gaji dan tunjangan bulan Juli 2010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3.296.773,00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disetahunkan: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12 x Rp 3.296.773,00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39.561.276,00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07"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dan tunjangan Ke-13: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 Pokok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Istri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Gaji dan tunjangan Ke-13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3.098.770,00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Penghasilan bruto setahun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42.660.046,00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Pengurangan</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Biaya Jabatan</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42.660.046,00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2.133.002,00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 x 4,75% X Rp 2.558.730,00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1.458.476,00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3.591.478,00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setahun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39.068.568,00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15.840.000,00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1.320.000,00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tambahan 3 orang tanggungan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(3 x Rp1.320.000,00)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Kena Pajak (PKP)</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17.948.568,00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17.948.000,00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setahun atas seluruh penghasilan: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5% x Rp17.948.000,00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897.400,00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atas gaji dan tunjangan ke-13: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897.400,00 - Rp750.200,00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147.200,00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4210" w:type="pct"/>
            <w:gridSpan w:val="15"/>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yang terutang atas gaji dan tunjangan ke-13 sebesar Rp147.200,00 Ditanggung Pemerintah.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4210" w:type="pct"/>
            <w:gridSpan w:val="15"/>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Aprinta belum memiliki NPWP maka besarnya PPh yang terutang atas gaji dan tunjangan ke-13 adalah: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120% x Rp147.200,00 = Rp176.640,00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Atas tambahan PPh 21 terutang yaitu sebesar Rp29.440,00 (Rp176.640,00-Rp147.200,00) tidak Ditanggung Pemerintah sehingga Bendahara Pemerintah wajib memotong dari gaji dan tunjangan Aprinta dan menyetorkannya ke Kas Negara.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4210" w:type="pct"/>
            <w:gridSpan w:val="15"/>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terdapat pembayaran rapel atas kenaikan gaji atau pembayaran atas kekurangan gaji dan tunjangan maka tata cara perhitungan atas rapel tersebut disamakan dengan perhitungan PPh Pasal 21 atas gaji dan tunjangan ke-13.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I.A.4</w:t>
            </w:r>
          </w:p>
        </w:tc>
        <w:tc>
          <w:tcPr>
            <w:tcW w:w="4369" w:type="pct"/>
            <w:gridSpan w:val="16"/>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Penghitungan PPh Pasal 21 bagi Pejabat Negara, PNS, Anggota TNI, dan Anggota POLRI yang menerima tambahan penghasilan yang bersifat tetap dan teratur setiap bulan yang pembayarannya terpisah dari pembayaran gaji</w:t>
            </w:r>
            <w:r w:rsidRPr="003C64BF">
              <w:rPr>
                <w:rFonts w:ascii="Book Antiqua" w:eastAsia="Times New Roman" w:hAnsi="Book Antiqua" w:cs="Times New Roman"/>
                <w:szCs w:val="24"/>
              </w:rPr>
              <w:t xml:space="preserve">.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Aprinta sebagaimana contoh I.A.1, ditugaskan pada Kantor Inspeksi Pemerintahan B (KIP B) sehingga tunjangan jabatan tidak lagi dibayarkan oleh KPP A dan di KIP B dibayarkan tunjangan jabatan sebesar Rp540.000,00 per bulan oleh Bendahara Pengeluaran KIP B, maka perhitungan PPh Pasal 21 di KPP A dan KIP B adalah: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di KPP A: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GajiPokok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Istri</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224.450,00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Beras</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198.000,00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Jumlah penghasilan bruto</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2.756.773,00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0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2.756.773,00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137.839,00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4,75% X Rp 2.558.730,00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121.540,00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259.379,00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2.497.394,00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 disetahunkan: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 x Rp 2.497.394,00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29.968.728,00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15.840.000,00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86"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3 orang tanggungan </w:t>
            </w:r>
          </w:p>
        </w:tc>
        <w:tc>
          <w:tcPr>
            <w:tcW w:w="70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Kena Pajak (PKP)</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8.848.728,00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8.848.000,00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PPh Pasal 21 setahun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8.848.000,00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442.400,00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atas gaji sebulan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 442.400,00: 12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36.866,00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di KIP B: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dari KPP A: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GajiPokok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2.244.500,00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Istri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224.450,00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89.780,00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Beras</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198.000,00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2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492" w:type="pct"/>
            <w:gridSpan w:val="4"/>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55" w:type="pct"/>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25" w:lineRule="atLeast"/>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43,00</w:t>
            </w:r>
          </w:p>
        </w:tc>
        <w:tc>
          <w:tcPr>
            <w:tcW w:w="806" w:type="pct"/>
            <w:gridSpan w:val="2"/>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Jumlah penghasilan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2.756.773,00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dari KIP B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540.000,00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Penghasilan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3.296.773,00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Pengurangan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3.296.773,00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164.839,00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4,75% X Rp 2.558.730,00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121.540,00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286.379,00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3.010.394,00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disetahunkan: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12 x Rp 3.010.394,00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36.124.728,00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15.840.000,00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86"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3 orang tanggungan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Kena Pajak (PKP)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15.004.728,00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embulatan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13"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PPh Pasal 21 atas gaji dan tunjangan setahun</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15.004.000,00=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750.200,00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13"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PPh Pasal 21 setahun yang terutang di KPP A</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442.400,00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 21 terutang di KIP B setahun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307.800,00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 21 terutang di KIP B sebulan: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Rp307.800 : 12 = Rp25.650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100" w:beforeAutospacing="1"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4049" w:type="pct"/>
            <w:gridSpan w:val="14"/>
            <w:tcBorders>
              <w:top w:val="nil"/>
              <w:left w:val="nil"/>
              <w:bottom w:val="nil"/>
              <w:right w:val="nil"/>
            </w:tcBorders>
            <w:hideMark/>
          </w:tcPr>
          <w:p w:rsidR="003C64BF" w:rsidRPr="003C64BF" w:rsidRDefault="003C64BF" w:rsidP="003C64BF">
            <w:pPr>
              <w:spacing w:before="100" w:beforeAutospacing="1"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per bulan yang terutang atas gaji dan tunjangan di KPP A adalah sebesar Rp36.866,00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per bulan yang terutang atas tunjangan jabatan yang dibayarkan di KIP B adalah sebesar Rp25.650,00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4049" w:type="pct"/>
            <w:gridSpan w:val="14"/>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Contoh perhitungan LA.4 ini juga diberlakukan apabila pembayaran tunjangan tambahan yang bersifat tetap dan teratur setiap bulan dan pembayaran gaji dilakukan oleh bendahara yang sam a tetapi pengajuan pembayarannya terpisah.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I.B.</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Penghitungan PPh Pasal 21 Terutang Pada Masa Pajak Desember</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Masa Desember untuk Aprinta sebagaimana contoh I.A.1, yang menerima gaji dan tunjangan ke-13 pada bulan Juli sebagaimana contoh I.A.3, adalah sebagai berikut: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dari Januari sampai dengan Desember: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GajiPokok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26.934.000,00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Istri</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2.693.400,00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1.077.360,00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6.480.000,00 </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Beras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2.376.000,00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516,00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 dan tunjangan ke-13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 3.098.770,00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Jumlah penghasilan bruto setahun</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Times New Roman" w:eastAsia="Times New Roman" w:hAnsi="Times New Roman" w:cs="Times New Roman"/>
                <w:szCs w:val="24"/>
              </w:rPr>
              <w:t>42.660.046,00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42.660.046,00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2.133.002,00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12 x 4,75% X Rp 2.558.730,00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1.458.476,00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3.591.478,00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 setahun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39.068.568,00 </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15.840.000,00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10"/>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492" w:type="pct"/>
            <w:gridSpan w:val="4"/>
            <w:tcBorders>
              <w:top w:val="nil"/>
              <w:left w:val="nil"/>
              <w:bottom w:val="nil"/>
              <w:right w:val="nil"/>
            </w:tcBorders>
            <w:hideMark/>
          </w:tcPr>
          <w:p w:rsidR="003C64BF" w:rsidRPr="003C64BF" w:rsidRDefault="003C64BF" w:rsidP="003C64BF">
            <w:pPr>
              <w:spacing w:after="0" w:line="210" w:lineRule="atLeast"/>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10" w:lineRule="atLeast"/>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10" w:lineRule="atLeast"/>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tambahan 3 orang tanggungan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Kena Pajak (PKP)</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17.948.568,00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17.948.000,00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setahun (Januari s.d. Desember):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Rp17.948.000,00=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897.400,00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Pasal21 atas gaji dan tunjangan terutang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24"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Januari s.d. November:                    11 x Rp 62.516,00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687.676,00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Pasal21 atas gaji dan tunjangan ke-13: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147.200,00</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85" w:type="pct"/>
            <w:gridSpan w:val="9"/>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Jumlah PPh Pasal21 terutang Januari s.d. November </w:t>
            </w: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937"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834.876,00 </w:t>
            </w: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8"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Masa Desember: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87"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 897.400,00 - Rp 834.876,00 = Rp62.524</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42"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8"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8"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4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210" w:type="pct"/>
            <w:gridSpan w:val="1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4049" w:type="pct"/>
            <w:gridSpan w:val="14"/>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PPh Pasal 21 yang terutang untuk Masa Januari s.d. November terdapat tambahan PPh Pasal 21 sebesar 20% karena belum memiliki NPWP, maka tambahan PPh Pasal 21 tersebut tidak boleh menjadi pengurang atas PPh Pasal 21 yang terutang pada bulan Desember.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4049" w:type="pct"/>
            <w:gridSpan w:val="14"/>
            <w:tcBorders>
              <w:top w:val="nil"/>
              <w:left w:val="nil"/>
              <w:bottom w:val="nil"/>
              <w:right w:val="nil"/>
            </w:tcBorders>
            <w:hideMark/>
          </w:tcPr>
          <w:p w:rsidR="003C64BF" w:rsidRPr="003C64BF" w:rsidRDefault="003C64BF" w:rsidP="003C64BF">
            <w:pPr>
              <w:spacing w:before="45"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pengeluaran harus membuat Bukti Pemotongan PPh Pasal 21 (1721-A2) untuk setiap tahun Pajak paling lama akhir bulan Januari Tahun berikutnya.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I.C.</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Penghitungan PPh Pasal 21 Terutang Pada Masa PajakTerakhir</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Apabila Aprinta sebagaimana contoh I.A.1, akan memasuki usia pensiun pada bulan Juni, maka perhitungan PPh Pasal 21 pada bulan Mei adalah sebagai berikut: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dari bulan Januari sampai dengan bulan Mei: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GajiPokok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11.222.500,00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Tunjangan Istri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1.122.250,00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Anak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448.900,00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Jabatan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2.700.000,00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Tunjangan Beras</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990.000,00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215,00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         Jumlah penghasilan bruto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16.483.865,00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Jabatan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16.483.865,00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824.193,00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Iuran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4,75% X Rp 12.793.650,00        =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607.698,00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1.431.891,00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806"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15.051.974,00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disetahunkan: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12/5 x Rp 15.051.974,00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36.124.737,00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PTKP (K/3)</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15.840.000,00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3 orang tanggungan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Kena Pajak (PKP) disetahunkan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15.004.737,00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Pembulatan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15.004.000,00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disetahunkan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15.004.000,00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750.200,00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 750.200,00 x 5/12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312. 583,00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Masa Pajak Mei = PPh Pasal 21 terutang - jumlah PPh Pasal 21 yang terutang Masa Pajak Januari sampai dengan Masa Pajak April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86"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312. 583,00 - (Rp62.516,00 x 4)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331"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62.519,00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210" w:type="pct"/>
            <w:gridSpan w:val="15"/>
            <w:tcBorders>
              <w:top w:val="nil"/>
              <w:left w:val="nil"/>
              <w:bottom w:val="nil"/>
              <w:right w:val="nil"/>
            </w:tcBorders>
            <w:hideMark/>
          </w:tcPr>
          <w:p w:rsidR="003C64BF" w:rsidRPr="003C64BF" w:rsidRDefault="003C64BF" w:rsidP="003C64BF">
            <w:pPr>
              <w:spacing w:before="100" w:beforeAutospacing="1"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harus menerbitkan bukti pemotongan PPh Pasal 21 (1721-A2) paling lama akhir bulan Juni.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before="45"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210" w:type="pct"/>
            <w:gridSpan w:val="15"/>
            <w:tcBorders>
              <w:top w:val="nil"/>
              <w:left w:val="nil"/>
              <w:bottom w:val="nil"/>
              <w:right w:val="nil"/>
            </w:tcBorders>
            <w:hideMark/>
          </w:tcPr>
          <w:p w:rsidR="003C64BF" w:rsidRPr="003C64BF" w:rsidRDefault="003C64BF" w:rsidP="003C64BF">
            <w:pPr>
              <w:spacing w:before="45"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Aprinta harus menyerahkan bukti pemotongan PPh Pasal 21 (1721-A2) kepada PT Taspen untuk diperhitungkan dalam penentuan PPh Pasal 21 atas Uang Pensiun.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I.D.</w:t>
            </w: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Contoh Penghitungan PPh Pasal 21 bagi Pensiunan yang menerima uang pensiun mulai Masa Pajak Januari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Raisita Agus seorang Pensiunan PNS status menikah dengan tanggungan 1 orang anak, telah memiliki NPWP. Setiap bulan Toto Subroto menerima Uang Pensiun sebesar Rp2.500.000,00.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Penghitungan PPh Pasal 21 adalah sebagai berikut: </w:t>
            </w:r>
          </w:p>
        </w:tc>
      </w:tr>
      <w:tr w:rsidR="003C64BF" w:rsidRPr="003C64BF" w:rsidTr="003C64BF">
        <w:trPr>
          <w:trHeight w:val="22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098" w:type="pct"/>
            <w:gridSpan w:val="7"/>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rPr>
              <w:t>Uang Pensiun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55" w:type="pct"/>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25" w:lineRule="atLeast"/>
              <w:jc w:val="right"/>
              <w:rPr>
                <w:rFonts w:ascii="Times New Roman" w:eastAsia="Times New Roman" w:hAnsi="Times New Roman" w:cs="Times New Roman"/>
                <w:szCs w:val="24"/>
              </w:rPr>
            </w:pPr>
            <w:r w:rsidRPr="003C64BF">
              <w:rPr>
                <w:rFonts w:ascii="Book Antiqua" w:eastAsia="Times New Roman" w:hAnsi="Book Antiqua" w:cs="Times New Roman"/>
                <w:szCs w:val="24"/>
              </w:rPr>
              <w:t>2.500.000,00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r>
      <w:tr w:rsidR="003C64BF" w:rsidRPr="003C64BF" w:rsidTr="003C64BF">
        <w:trPr>
          <w:trHeight w:val="22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098" w:type="pct"/>
            <w:gridSpan w:val="7"/>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r>
      <w:tr w:rsidR="003C64BF" w:rsidRPr="003C64BF" w:rsidTr="003C64BF">
        <w:trPr>
          <w:trHeight w:val="22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098" w:type="pct"/>
            <w:gridSpan w:val="7"/>
            <w:tcBorders>
              <w:top w:val="nil"/>
              <w:left w:val="nil"/>
              <w:bottom w:val="nil"/>
              <w:right w:val="nil"/>
            </w:tcBorders>
            <w:hideMark/>
          </w:tcPr>
          <w:p w:rsidR="003C64BF" w:rsidRPr="003C64BF" w:rsidRDefault="003C64BF" w:rsidP="003C64BF">
            <w:pPr>
              <w:spacing w:after="0" w:line="225" w:lineRule="atLeast"/>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Pensiun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 w:val="20"/>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2.500.000,00=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125.000,00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2.375.000,00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Setahun: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12 x Rp 2.375.000,00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28.500.000,00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(K/1)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15.840.000,00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1.320.000,00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939" w:type="pct"/>
            <w:gridSpan w:val="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1 orang tanggungan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 x Rp1.320.000,00)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1.320.000,00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18.480.000,00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Kena Pajak (PKP)</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10.020.000,00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10.020.000,00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501.000,00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Pasal21 atas Uang Pensiun sebulan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501.000,00 : 12                                                    =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Rp</w:t>
            </w:r>
          </w:p>
        </w:tc>
        <w:tc>
          <w:tcPr>
            <w:tcW w:w="526"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41.750,00 </w:t>
            </w: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I.E.</w:t>
            </w:r>
          </w:p>
        </w:tc>
        <w:tc>
          <w:tcPr>
            <w:tcW w:w="4635" w:type="pct"/>
            <w:gridSpan w:val="17"/>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 xml:space="preserve">Contoh Penghitungan PPh Pasal 21 bagi Pensiunan yang menerima uang pensiun dalam tahun berjalan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Aprinta sebagaimana contoh I.C, yang memasuki usia pensiun pada bulan Juni, mulai bulan Juni menerima Uang Pensiun sebesar Rp2.500.000,00. Perhitungan PPh Pasal 21 atas Uang Pensiun tersebut adalah sebagai berikut: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Uang Pensiun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2.500.000,00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Pengurangan: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Biaya Pensiun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2.500.000,00=</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before="100" w:beforeAutospacing="1" w:after="100" w:afterAutospacing="1"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125.000,00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Penghasilan neto</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2.375.000,00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Perkiraan Penghasilan neto 7 bulan</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16.625.000,00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neto sebelumnya (1721-A2)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15.051.973,00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Jumlah Penghasilan neto</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31.676.973,00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273" w:type="pct"/>
            <w:gridSpan w:val="8"/>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PTKP (K/3)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untuk Wajib Pajak</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15.840.000,00 </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status WP Kawin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1.320.000,00</w:t>
            </w: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646"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tambahan 3 orang tanggungan </w:t>
            </w: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492" w:type="pct"/>
            <w:gridSpan w:val="4"/>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(3 x Rp1.320.000,00)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01"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3.960.000,00</w:t>
            </w:r>
          </w:p>
        </w:tc>
        <w:tc>
          <w:tcPr>
            <w:tcW w:w="137" w:type="pct"/>
            <w:tcBorders>
              <w:top w:val="nil"/>
              <w:left w:val="nil"/>
              <w:bottom w:val="nil"/>
              <w:right w:val="nil"/>
            </w:tcBorders>
            <w:hideMark/>
          </w:tcPr>
          <w:p w:rsidR="003C64BF" w:rsidRPr="003C64BF" w:rsidRDefault="003C64BF" w:rsidP="003C64BF">
            <w:pPr>
              <w:spacing w:before="100" w:beforeAutospacing="1" w:after="100" w:afterAutospacing="1" w:line="240" w:lineRule="auto"/>
              <w:jc w:val="center"/>
              <w:rPr>
                <w:rFonts w:ascii="Times New Roman" w:eastAsia="Times New Roman" w:hAnsi="Times New Roman" w:cs="Times New Roman"/>
                <w:szCs w:val="24"/>
              </w:rPr>
            </w:pPr>
            <w:r w:rsidRPr="003C64BF">
              <w:rPr>
                <w:rFonts w:ascii="Book Antiqua" w:eastAsia="Times New Roman" w:hAnsi="Book Antiqua" w:cs="Times New Roman"/>
                <w:szCs w:val="24"/>
              </w:rPr>
              <w:t>+</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21.120.000,00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Penghasilan Kena Pajak (PKP)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 xml:space="preserve">10.556.973,00 </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51" w:type="pct"/>
            <w:gridSpan w:val="5"/>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Pembulatan</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10.556.000,00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5% x Rp 10.556.000,00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527.800,00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Pasal21 terutang sebelumnya (1721-A2): </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u w:val="single"/>
              </w:rPr>
              <w:t>312.583,00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098" w:type="pct"/>
            <w:gridSpan w:val="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PPh Pasal21 terutang atas Uang Pensiun</w:t>
            </w: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u w:val="single"/>
              </w:rPr>
              <w:t>Rp</w:t>
            </w:r>
          </w:p>
        </w:tc>
        <w:tc>
          <w:tcPr>
            <w:tcW w:w="764" w:type="pct"/>
            <w:gridSpan w:val="3"/>
            <w:tcBorders>
              <w:top w:val="nil"/>
              <w:left w:val="nil"/>
              <w:bottom w:val="nil"/>
              <w:right w:val="nil"/>
            </w:tcBorders>
            <w:hideMark/>
          </w:tcPr>
          <w:p w:rsidR="003C64BF" w:rsidRPr="003C64BF" w:rsidRDefault="003C64BF" w:rsidP="003C64BF">
            <w:pPr>
              <w:spacing w:after="0" w:line="240" w:lineRule="auto"/>
              <w:jc w:val="right"/>
              <w:rPr>
                <w:rFonts w:ascii="Times New Roman" w:eastAsia="Times New Roman" w:hAnsi="Times New Roman" w:cs="Times New Roman"/>
                <w:szCs w:val="24"/>
              </w:rPr>
            </w:pPr>
            <w:r w:rsidRPr="003C64BF">
              <w:rPr>
                <w:rFonts w:ascii="Book Antiqua" w:eastAsia="Times New Roman" w:hAnsi="Book Antiqua" w:cs="Times New Roman"/>
                <w:szCs w:val="24"/>
              </w:rPr>
              <w:t>215.217,00</w:t>
            </w: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45" w:type="pct"/>
            <w:gridSpan w:val="10"/>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terutang atas Dang Pensiun setiap bulan adalah: </w:t>
            </w: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952" w:type="pct"/>
            <w:gridSpan w:val="6"/>
            <w:tcBorders>
              <w:top w:val="nil"/>
              <w:left w:val="nil"/>
              <w:bottom w:val="nil"/>
              <w:right w:val="nil"/>
            </w:tcBorders>
            <w:hideMark/>
          </w:tcPr>
          <w:p w:rsidR="003C64BF" w:rsidRPr="003C64BF" w:rsidRDefault="003C64BF" w:rsidP="003C64BF">
            <w:pPr>
              <w:spacing w:before="100" w:beforeAutospacing="1"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Rp   215.217,00: 7 = Rp 30.745,00 </w:t>
            </w: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II.</w:t>
            </w:r>
          </w:p>
        </w:tc>
        <w:tc>
          <w:tcPr>
            <w:tcW w:w="4874" w:type="pct"/>
            <w:gridSpan w:val="18"/>
            <w:tcBorders>
              <w:top w:val="nil"/>
              <w:left w:val="nil"/>
              <w:bottom w:val="nil"/>
              <w:right w:val="nil"/>
            </w:tcBorders>
            <w:hideMark/>
          </w:tcPr>
          <w:p w:rsidR="003C64BF" w:rsidRPr="003C64BF" w:rsidRDefault="003C64BF" w:rsidP="003C64BF">
            <w:pPr>
              <w:spacing w:before="90" w:after="90" w:line="240" w:lineRule="auto"/>
              <w:rPr>
                <w:rFonts w:ascii="Times New Roman" w:eastAsia="Times New Roman" w:hAnsi="Times New Roman" w:cs="Times New Roman"/>
                <w:szCs w:val="24"/>
              </w:rPr>
            </w:pPr>
            <w:r w:rsidRPr="003C64BF">
              <w:rPr>
                <w:rFonts w:ascii="Book Antiqua" w:eastAsia="Times New Roman" w:hAnsi="Book Antiqua" w:cs="Times New Roman"/>
                <w:b/>
                <w:bCs/>
                <w:szCs w:val="24"/>
              </w:rPr>
              <w:t>CONTOH PENGHITUNGAN PPh PASAL 21 UNTUK HONORARIUM ATAU IMBALAN LAIN</w:t>
            </w:r>
            <w:r w:rsidRPr="003C64BF">
              <w:rPr>
                <w:rFonts w:ascii="Book Antiqua" w:eastAsia="Times New Roman" w:hAnsi="Book Antiqua" w:cs="Times New Roman"/>
                <w:szCs w:val="24"/>
              </w:rPr>
              <w:t xml:space="preserve">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II.A.</w:t>
            </w:r>
          </w:p>
        </w:tc>
        <w:tc>
          <w:tcPr>
            <w:tcW w:w="4635" w:type="pct"/>
            <w:gridSpan w:val="17"/>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Fitria Ratna Wardika adalah PNS golongan III/d, pada bulan Maret 2011 menerima honorarium sebagai nara sumber sebuah seminar yang sumber dananya berasal dari APBN sebesar Rp 5.000.000,00. </w:t>
            </w:r>
          </w:p>
        </w:tc>
      </w:tr>
      <w:tr w:rsidR="003C64BF" w:rsidRPr="003C64BF" w:rsidTr="003C64BF">
        <w:trPr>
          <w:trHeight w:val="28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Times New Roman" w:eastAsia="Times New Roman" w:hAnsi="Times New Roman" w:cs="Times New Roman"/>
                <w:szCs w:val="24"/>
              </w:rPr>
              <w:t> </w:t>
            </w:r>
          </w:p>
        </w:tc>
        <w:tc>
          <w:tcPr>
            <w:tcW w:w="4635" w:type="pct"/>
            <w:gridSpan w:val="1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Final yang terutang: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5% x Rp5.000.000,00 = Rp 250.000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90"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w:t>
            </w:r>
          </w:p>
        </w:tc>
        <w:tc>
          <w:tcPr>
            <w:tcW w:w="4369" w:type="pct"/>
            <w:gridSpan w:val="16"/>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atas honorarium sebagai nara sumber sebagaimana dimaksud pada butir II.A tidak ditanggung pemerintah dan dipotong PPh Pasal 21 bersifat final.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b.</w:t>
            </w:r>
          </w:p>
        </w:tc>
        <w:tc>
          <w:tcPr>
            <w:tcW w:w="4369" w:type="pct"/>
            <w:gridSpan w:val="16"/>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Bendahara pemerintah yang membayarkan honorarium wajib: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1)</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memotong PPh Pasal 21 Final dan menyetorkannya ke bank persepsi atau Kantor Pos;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2)</w:t>
            </w:r>
          </w:p>
        </w:tc>
        <w:tc>
          <w:tcPr>
            <w:tcW w:w="4049" w:type="pct"/>
            <w:gridSpan w:val="14"/>
            <w:tcBorders>
              <w:top w:val="nil"/>
              <w:left w:val="nil"/>
              <w:bottom w:val="nil"/>
              <w:right w:val="nil"/>
            </w:tcBorders>
            <w:hideMark/>
          </w:tcPr>
          <w:p w:rsidR="003C64BF" w:rsidRPr="003C64BF" w:rsidRDefault="003C64BF" w:rsidP="003C64BF">
            <w:pPr>
              <w:spacing w:before="45" w:after="45"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membuat bukti pemotongan PPh Pasal 21 Final paling lama akhir bulan dilakukan pembayaran;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3)</w:t>
            </w:r>
          </w:p>
        </w:tc>
        <w:tc>
          <w:tcPr>
            <w:tcW w:w="4049" w:type="pct"/>
            <w:gridSpan w:val="14"/>
            <w:tcBorders>
              <w:top w:val="nil"/>
              <w:left w:val="nil"/>
              <w:bottom w:val="nil"/>
              <w:right w:val="nil"/>
            </w:tcBorders>
            <w:hideMark/>
          </w:tcPr>
          <w:p w:rsidR="003C64BF" w:rsidRPr="003C64BF" w:rsidRDefault="003C64BF" w:rsidP="003C64BF">
            <w:pPr>
              <w:spacing w:before="45"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melaporkan pemotongan PPh Pasal 21 Final melalui penyampaian SPT Masa PPh Pasal 21.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before="90"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II.B.</w:t>
            </w:r>
          </w:p>
        </w:tc>
        <w:tc>
          <w:tcPr>
            <w:tcW w:w="4635" w:type="pct"/>
            <w:gridSpan w:val="17"/>
            <w:tcBorders>
              <w:top w:val="nil"/>
              <w:left w:val="nil"/>
              <w:bottom w:val="nil"/>
              <w:right w:val="nil"/>
            </w:tcBorders>
            <w:hideMark/>
          </w:tcPr>
          <w:p w:rsidR="003C64BF" w:rsidRPr="003C64BF" w:rsidRDefault="003C64BF" w:rsidP="003C64BF">
            <w:pPr>
              <w:spacing w:before="90"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Yayuk, PNS Golongan II/d, pada tanggal 21 Maret 2011 menerima honorarium sebagai salah satu anggota Tim Kerja sebesar Rp 1.500.000,00, selama 6 bulan.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PPh Pasal 21 Final yang terutang: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369" w:type="pct"/>
            <w:gridSpan w:val="16"/>
            <w:tcBorders>
              <w:top w:val="nil"/>
              <w:left w:val="nil"/>
              <w:bottom w:val="nil"/>
              <w:right w:val="nil"/>
            </w:tcBorders>
            <w:hideMark/>
          </w:tcPr>
          <w:p w:rsidR="003C64BF" w:rsidRPr="003C64BF" w:rsidRDefault="003C64BF" w:rsidP="003C64BF">
            <w:pPr>
              <w:spacing w:before="100" w:beforeAutospacing="1" w:after="9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0% x Rp1.500.000,00 = Rp 0,00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90"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Catatan: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4635" w:type="pct"/>
            <w:gridSpan w:val="17"/>
            <w:tcBorders>
              <w:top w:val="nil"/>
              <w:left w:val="nil"/>
              <w:bottom w:val="nil"/>
              <w:right w:val="nil"/>
            </w:tcBorders>
            <w:hideMark/>
          </w:tcPr>
          <w:p w:rsidR="003C64BF" w:rsidRPr="003C64BF" w:rsidRDefault="003C64BF" w:rsidP="003C64BF">
            <w:pPr>
              <w:spacing w:before="100" w:beforeAutospacing="1" w:after="100" w:afterAutospacing="1"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Walaupun PPh Pasal 21 Final yang dipotong Rp0,00, Bendahara pemerintah wajib membuat bukti pemotongan PPh Pasal 21 Final paling lama akhir bulan Maret 2011 . </w:t>
            </w:r>
          </w:p>
        </w:tc>
      </w:tr>
      <w:tr w:rsidR="003C64BF" w:rsidRPr="003C64BF" w:rsidTr="003C64BF">
        <w:trPr>
          <w:trHeight w:val="255"/>
        </w:trPr>
        <w:tc>
          <w:tcPr>
            <w:tcW w:w="126"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single" w:sz="6" w:space="0" w:color="auto"/>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15"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MENTERI KEUANGAN</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15"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 xml:space="preserve">ttd. </w:t>
            </w: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50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806"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r>
      <w:tr w:rsidR="003C64BF" w:rsidRPr="003C64BF" w:rsidTr="003C64BF">
        <w:trPr>
          <w:trHeight w:val="255"/>
        </w:trPr>
        <w:tc>
          <w:tcPr>
            <w:tcW w:w="126"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9"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6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0"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61"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13"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90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92"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7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34"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7"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55" w:type="pct"/>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255" w:type="pct"/>
            <w:gridSpan w:val="2"/>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p>
        </w:tc>
        <w:tc>
          <w:tcPr>
            <w:tcW w:w="1315" w:type="pct"/>
            <w:gridSpan w:val="3"/>
            <w:tcBorders>
              <w:top w:val="nil"/>
              <w:left w:val="nil"/>
              <w:bottom w:val="nil"/>
              <w:right w:val="nil"/>
            </w:tcBorders>
            <w:hideMark/>
          </w:tcPr>
          <w:p w:rsidR="003C64BF" w:rsidRPr="003C64BF" w:rsidRDefault="003C64BF" w:rsidP="003C64BF">
            <w:pPr>
              <w:spacing w:after="0" w:line="240" w:lineRule="auto"/>
              <w:rPr>
                <w:rFonts w:ascii="Times New Roman" w:eastAsia="Times New Roman" w:hAnsi="Times New Roman" w:cs="Times New Roman"/>
                <w:szCs w:val="24"/>
              </w:rPr>
            </w:pPr>
            <w:r w:rsidRPr="003C64BF">
              <w:rPr>
                <w:rFonts w:ascii="Book Antiqua" w:eastAsia="Times New Roman" w:hAnsi="Book Antiqua" w:cs="Times New Roman"/>
                <w:szCs w:val="24"/>
              </w:rPr>
              <w:t>AGUS D.W. MARTOWARDOJO</w:t>
            </w:r>
          </w:p>
        </w:tc>
      </w:tr>
    </w:tbl>
    <w:p w:rsidR="00ED5E49" w:rsidRPr="003C64BF" w:rsidRDefault="00ED5E49" w:rsidP="00911DF4">
      <w:pPr>
        <w:spacing w:after="0" w:line="240" w:lineRule="auto"/>
        <w:jc w:val="center"/>
        <w:rPr>
          <w:sz w:val="20"/>
        </w:rPr>
      </w:pPr>
      <w:bookmarkStart w:id="0" w:name="_GoBack"/>
      <w:bookmarkEnd w:id="0"/>
    </w:p>
    <w:sectPr w:rsidR="00ED5E49" w:rsidRPr="003C64BF" w:rsidSect="00375BC7">
      <w:footerReference w:type="default" r:id="rId15"/>
      <w:pgSz w:w="11906" w:h="16838"/>
      <w:pgMar w:top="1134" w:right="1134" w:bottom="1134" w:left="1701"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BA" w:rsidRDefault="001872BA" w:rsidP="00823279">
      <w:pPr>
        <w:spacing w:after="0" w:line="240" w:lineRule="auto"/>
      </w:pPr>
      <w:r>
        <w:separator/>
      </w:r>
    </w:p>
  </w:endnote>
  <w:endnote w:type="continuationSeparator" w:id="0">
    <w:p w:rsidR="001872BA" w:rsidRDefault="001872BA"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C7" w:rsidRPr="00823279" w:rsidRDefault="00375BC7"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14:anchorId="070C0F24" wp14:editId="74AD7C57">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BC7" w:rsidRPr="005A342B" w:rsidRDefault="00375BC7" w:rsidP="00823279">
                          <w:pPr>
                            <w:tabs>
                              <w:tab w:val="right" w:pos="14742"/>
                            </w:tabs>
                            <w:rPr>
                              <w:rFonts w:ascii="Cambria" w:hAnsi="Cambria"/>
                              <w:i/>
                              <w:iCs/>
                              <w:sz w:val="20"/>
                            </w:rPr>
                          </w:pPr>
                          <w:fldSimple w:instr=" FILENAME \p  \* MERGEFORMAT ">
                            <w:r w:rsidRPr="00375BC7">
                              <w:rPr>
                                <w:rFonts w:ascii="Cambria" w:hAnsi="Cambria"/>
                                <w:i/>
                                <w:iCs/>
                                <w:noProof/>
                                <w:sz w:val="20"/>
                              </w:rPr>
                              <w:t>D:\My Documents</w:t>
                            </w:r>
                            <w:r w:rsidRPr="00375BC7">
                              <w:rPr>
                                <w:rFonts w:ascii="Cambria" w:hAnsi="Cambria"/>
                                <w:i/>
                                <w:noProof/>
                                <w:sz w:val="20"/>
                              </w:rPr>
                              <w:t>\luk.tsipil.ugm.ac.id\atur\Permenkeu262-PMK.03-2010.docx</w:t>
                            </w:r>
                          </w:fldSimple>
                          <w:r w:rsidRPr="00B95113">
                            <w:rPr>
                              <w:rFonts w:ascii="Cambria" w:hAnsi="Cambria"/>
                              <w:i/>
                              <w:iCs/>
                              <w:sz w:val="20"/>
                            </w:rPr>
                            <w:t xml:space="preserve"> (</w:t>
                          </w:r>
                          <w:fldSimple w:instr=" FILESIZE \k  \* MERGEFORMAT ">
                            <w:r w:rsidRPr="00375BC7">
                              <w:rPr>
                                <w:rFonts w:ascii="Cambria" w:hAnsi="Cambria"/>
                                <w:i/>
                                <w:iCs/>
                                <w:noProof/>
                                <w:sz w:val="20"/>
                              </w:rPr>
                              <w:t>143</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Kamis, 27 Januari 2011</w:t>
                          </w:r>
                          <w:r>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375BC7" w:rsidRPr="005A342B" w:rsidRDefault="00375BC7" w:rsidP="00823279">
                    <w:pPr>
                      <w:tabs>
                        <w:tab w:val="right" w:pos="14742"/>
                      </w:tabs>
                      <w:rPr>
                        <w:rFonts w:ascii="Cambria" w:hAnsi="Cambria"/>
                        <w:i/>
                        <w:iCs/>
                        <w:sz w:val="20"/>
                      </w:rPr>
                    </w:pPr>
                    <w:fldSimple w:instr=" FILENAME \p  \* MERGEFORMAT ">
                      <w:r w:rsidRPr="00375BC7">
                        <w:rPr>
                          <w:rFonts w:ascii="Cambria" w:hAnsi="Cambria"/>
                          <w:i/>
                          <w:iCs/>
                          <w:noProof/>
                          <w:sz w:val="20"/>
                        </w:rPr>
                        <w:t>D:\My Documents</w:t>
                      </w:r>
                      <w:r w:rsidRPr="00375BC7">
                        <w:rPr>
                          <w:rFonts w:ascii="Cambria" w:hAnsi="Cambria"/>
                          <w:i/>
                          <w:noProof/>
                          <w:sz w:val="20"/>
                        </w:rPr>
                        <w:t>\luk.tsipil.ugm.ac.id\atur\Permenkeu262-PMK.03-2010.docx</w:t>
                      </w:r>
                    </w:fldSimple>
                    <w:r w:rsidRPr="00B95113">
                      <w:rPr>
                        <w:rFonts w:ascii="Cambria" w:hAnsi="Cambria"/>
                        <w:i/>
                        <w:iCs/>
                        <w:sz w:val="20"/>
                      </w:rPr>
                      <w:t xml:space="preserve"> (</w:t>
                    </w:r>
                    <w:fldSimple w:instr=" FILESIZE \k  \* MERGEFORMAT ">
                      <w:r w:rsidRPr="00375BC7">
                        <w:rPr>
                          <w:rFonts w:ascii="Cambria" w:hAnsi="Cambria"/>
                          <w:i/>
                          <w:iCs/>
                          <w:noProof/>
                          <w:sz w:val="20"/>
                        </w:rPr>
                        <w:t>143</w:t>
                      </w:r>
                    </w:fldSimple>
                    <w:r w:rsidRPr="00B95113">
                      <w:rPr>
                        <w:rFonts w:ascii="Cambria" w:hAnsi="Cambria"/>
                        <w:i/>
                        <w:iCs/>
                        <w:sz w:val="20"/>
                      </w:rPr>
                      <w:t xml:space="preserve"> Kb)</w:t>
                    </w:r>
                    <w:r>
                      <w:rPr>
                        <w:rFonts w:ascii="Cambria" w:hAnsi="Cambria"/>
                        <w:i/>
                        <w:iCs/>
                        <w:sz w:val="20"/>
                      </w:rPr>
                      <w:tab/>
                      <w:t xml:space="preserve">Last saved: </w:t>
                    </w:r>
                    <w:r>
                      <w:rPr>
                        <w:rFonts w:ascii="Cambria" w:hAnsi="Cambria"/>
                        <w:i/>
                        <w:iCs/>
                        <w:sz w:val="20"/>
                      </w:rPr>
                      <w:fldChar w:fldCharType="begin"/>
                    </w:r>
                    <w:r>
                      <w:rPr>
                        <w:rFonts w:ascii="Cambria" w:hAnsi="Cambria"/>
                        <w:i/>
                        <w:iCs/>
                        <w:sz w:val="20"/>
                      </w:rPr>
                      <w:instrText xml:space="preserve"> SAVEDATE  \@ "dddd, dd MMMM yyyy"  \* MERGEFORMAT </w:instrText>
                    </w:r>
                    <w:r>
                      <w:rPr>
                        <w:rFonts w:ascii="Cambria" w:hAnsi="Cambria"/>
                        <w:i/>
                        <w:iCs/>
                        <w:sz w:val="20"/>
                      </w:rPr>
                      <w:fldChar w:fldCharType="separate"/>
                    </w:r>
                    <w:r>
                      <w:rPr>
                        <w:rFonts w:ascii="Cambria" w:hAnsi="Cambria"/>
                        <w:i/>
                        <w:iCs/>
                        <w:noProof/>
                        <w:sz w:val="20"/>
                      </w:rPr>
                      <w:t>Kamis, 27 Januari 2011</w:t>
                    </w:r>
                    <w:r>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1872BA">
      <w:rPr>
        <w:rStyle w:val="PageNumber"/>
        <w:noProof/>
        <w:sz w:val="18"/>
        <w:szCs w:val="18"/>
        <w:lang w:val="es-ES"/>
      </w:rPr>
      <w:t>1</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BA" w:rsidRDefault="001872BA" w:rsidP="00823279">
      <w:pPr>
        <w:spacing w:after="0" w:line="240" w:lineRule="auto"/>
      </w:pPr>
      <w:r>
        <w:separator/>
      </w:r>
    </w:p>
  </w:footnote>
  <w:footnote w:type="continuationSeparator" w:id="0">
    <w:p w:rsidR="001872BA" w:rsidRDefault="001872BA"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872BA"/>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75BC7"/>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4B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1DF4"/>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0346"/>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AD0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346"/>
    <w:rPr>
      <w:color w:val="0000FF"/>
      <w:u w:val="single"/>
    </w:rPr>
  </w:style>
  <w:style w:type="paragraph" w:styleId="BalloonText">
    <w:name w:val="Balloon Text"/>
    <w:basedOn w:val="Normal"/>
    <w:link w:val="BalloonTextChar"/>
    <w:uiPriority w:val="99"/>
    <w:semiHidden/>
    <w:unhideWhenUsed/>
    <w:rsid w:val="00AD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AD0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346"/>
    <w:rPr>
      <w:color w:val="0000FF"/>
      <w:u w:val="single"/>
    </w:rPr>
  </w:style>
  <w:style w:type="paragraph" w:styleId="BalloonText">
    <w:name w:val="Balloon Text"/>
    <w:basedOn w:val="Normal"/>
    <w:link w:val="BalloonTextChar"/>
    <w:uiPriority w:val="99"/>
    <w:semiHidden/>
    <w:unhideWhenUsed/>
    <w:rsid w:val="00AD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1890">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4828">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dih.depkeu.go.id/fullText/2010/56~PTAHUN2010Kpr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depkeu.go.id/fullText/2008/36TAHUN2008U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1983/7TAHUN~1983UU.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jdih.depkeu.go.id/fullText/2009/16TAHUN2009UU.htm" TargetMode="External"/><Relationship Id="rId4" Type="http://schemas.openxmlformats.org/officeDocument/2006/relationships/settings" Target="settings.xml"/><Relationship Id="rId9" Type="http://schemas.openxmlformats.org/officeDocument/2006/relationships/hyperlink" Target="http://www.sjdih.depkeu.go.id/fullText/1983/6TAHUN~1983UU.HTM" TargetMode="External"/><Relationship Id="rId14" Type="http://schemas.openxmlformats.org/officeDocument/2006/relationships/hyperlink" Target="http://www.sjdih.depkeu.go.id/fullText/1994/636~KMK.04~1994K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8198</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54819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2</cp:revision>
  <dcterms:created xsi:type="dcterms:W3CDTF">2011-01-27T05:59:00Z</dcterms:created>
  <dcterms:modified xsi:type="dcterms:W3CDTF">2011-01-27T05:59:00Z</dcterms:modified>
  <cp:category>Produk Hukum</cp:category>
</cp:coreProperties>
</file>