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92" w:rsidRDefault="00FD0C92" w:rsidP="00891B88">
      <w:pPr>
        <w:spacing w:line="240" w:lineRule="auto"/>
        <w:jc w:val="center"/>
      </w:pPr>
      <w:bookmarkStart w:id="0" w:name="_GoBack"/>
      <w:r>
        <w:rPr>
          <w:noProof/>
          <w:lang w:val="en-US" w:eastAsia="en-US"/>
        </w:rPr>
        <w:drawing>
          <wp:inline distT="0" distB="0" distL="0" distR="0">
            <wp:extent cx="1066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FD0C92" w:rsidRPr="00FD0C92" w:rsidRDefault="00FD0C92" w:rsidP="00891B88">
      <w:pPr>
        <w:pStyle w:val="NormalWeb"/>
        <w:spacing w:before="0" w:beforeAutospacing="0" w:after="180" w:afterAutospacing="0"/>
        <w:jc w:val="center"/>
        <w:rPr>
          <w:rFonts w:ascii="Bookman Old Style" w:hAnsi="Bookman Old Style"/>
        </w:rPr>
      </w:pPr>
      <w:r w:rsidRPr="00FD0C92">
        <w:rPr>
          <w:rFonts w:ascii="Bookman Old Style" w:hAnsi="Bookman Old Style"/>
        </w:rPr>
        <w:t xml:space="preserve">MENTERI KEUANGAN </w:t>
      </w:r>
    </w:p>
    <w:p w:rsidR="00FD0C92" w:rsidRPr="00FD0C92" w:rsidRDefault="00FD0C92" w:rsidP="00891B88">
      <w:pPr>
        <w:pStyle w:val="NormalWeb"/>
        <w:spacing w:before="0" w:beforeAutospacing="0" w:after="180" w:afterAutospacing="0"/>
        <w:jc w:val="center"/>
        <w:rPr>
          <w:rFonts w:ascii="Bookman Old Style" w:hAnsi="Bookman Old Style"/>
        </w:rPr>
      </w:pPr>
      <w:r w:rsidRPr="00FD0C92">
        <w:rPr>
          <w:rFonts w:ascii="Bookman Old Style" w:hAnsi="Bookman Old Style"/>
        </w:rPr>
        <w:t>REPUBLIK INDONESIA</w:t>
      </w:r>
    </w:p>
    <w:p w:rsidR="00FD0C92" w:rsidRDefault="00FD0C92" w:rsidP="00891B88">
      <w:pPr>
        <w:pStyle w:val="NormalWeb"/>
        <w:spacing w:before="0" w:beforeAutospacing="0" w:after="180" w:afterAutospacing="0"/>
        <w:jc w:val="center"/>
      </w:pPr>
      <w:r>
        <w:rPr>
          <w:rFonts w:ascii="Bookman Old Style" w:hAnsi="Bookman Old Style"/>
        </w:rPr>
        <w:t>SALINAN</w:t>
      </w:r>
    </w:p>
    <w:p w:rsidR="00FD0C92" w:rsidRDefault="00FD0C92" w:rsidP="00891B88">
      <w:pPr>
        <w:pStyle w:val="NormalWeb"/>
        <w:spacing w:before="90" w:beforeAutospacing="0" w:after="0" w:afterAutospacing="0"/>
        <w:jc w:val="center"/>
      </w:pPr>
      <w:r>
        <w:rPr>
          <w:rFonts w:ascii="Bookman Old Style" w:hAnsi="Bookman Old Style"/>
        </w:rPr>
        <w:t>PERATURAN MENTERI KEUANGAN REPUBLIK INDONESIA</w:t>
      </w:r>
      <w:r>
        <w:rPr>
          <w:rFonts w:ascii="Bookman Old Style" w:hAnsi="Bookman Old Style"/>
        </w:rPr>
        <w:br/>
        <w:t>NOMOR 55/PMK.05/2014</w:t>
      </w:r>
    </w:p>
    <w:p w:rsidR="00FD0C92" w:rsidRDefault="00FD0C92" w:rsidP="00891B88">
      <w:pPr>
        <w:pStyle w:val="NormalWeb"/>
        <w:spacing w:before="90" w:beforeAutospacing="0" w:after="0" w:afterAutospacing="0"/>
        <w:jc w:val="center"/>
      </w:pPr>
      <w:r>
        <w:rPr>
          <w:rFonts w:ascii="Bookman Old Style" w:hAnsi="Bookman Old Style"/>
        </w:rPr>
        <w:br/>
        <w:t>TENTANG</w:t>
      </w:r>
    </w:p>
    <w:p w:rsidR="00FD0C92" w:rsidRDefault="00FD0C92" w:rsidP="00891B88">
      <w:pPr>
        <w:pStyle w:val="NormalWeb"/>
        <w:spacing w:before="90" w:beforeAutospacing="0" w:after="0" w:afterAutospacing="0"/>
        <w:jc w:val="center"/>
      </w:pPr>
      <w:r>
        <w:rPr>
          <w:rFonts w:ascii="Bookman Old Style" w:hAnsi="Bookman Old Style"/>
        </w:rPr>
        <w:t xml:space="preserve">PERUBAHAN KEDUA ATAS </w:t>
      </w:r>
      <w:r>
        <w:rPr>
          <w:rFonts w:ascii="Bookman Old Style" w:hAnsi="Bookman Old Style"/>
        </w:rPr>
        <w:br/>
        <w:t xml:space="preserve">PERATURAN MENTERI KEUANGAN NOMOR 97/PMK.05/2010 </w:t>
      </w:r>
      <w:r>
        <w:rPr>
          <w:rFonts w:ascii="Bookman Old Style" w:hAnsi="Bookman Old Style"/>
        </w:rPr>
        <w:br/>
        <w:t>TENTANG PERJALANAN DINAS LUAR NEGERI BAGI PEJABAT NEGARA,</w:t>
      </w:r>
    </w:p>
    <w:p w:rsidR="00FD0C92" w:rsidRDefault="00FD0C92" w:rsidP="00891B88">
      <w:pPr>
        <w:pStyle w:val="NormalWeb"/>
        <w:spacing w:before="0" w:beforeAutospacing="0" w:after="0" w:afterAutospacing="0"/>
        <w:jc w:val="center"/>
      </w:pPr>
      <w:r>
        <w:rPr>
          <w:rFonts w:ascii="Bookman Old Style" w:hAnsi="Bookman Old Style"/>
        </w:rPr>
        <w:t>PEGAWAI NEGERI, DAN PEGAWAI TIDAK TETAP</w:t>
      </w:r>
    </w:p>
    <w:p w:rsidR="00FD0C92" w:rsidRDefault="00FD0C92" w:rsidP="00891B88">
      <w:pPr>
        <w:pStyle w:val="NormalWeb"/>
        <w:spacing w:before="0" w:beforeAutospacing="0" w:after="0" w:afterAutospacing="0"/>
        <w:jc w:val="center"/>
      </w:pPr>
      <w:r>
        <w:rPr>
          <w:rFonts w:ascii="Bookman Old Style" w:hAnsi="Bookman Old Style"/>
        </w:rPr>
        <w:t>DENGAN RAHMAT TUHAN YANG MAHA ESA</w:t>
      </w:r>
    </w:p>
    <w:p w:rsidR="00FD0C92" w:rsidRDefault="00FD0C92" w:rsidP="00891B88">
      <w:pPr>
        <w:pStyle w:val="NormalWeb"/>
        <w:spacing w:before="0" w:beforeAutospacing="0" w:after="0" w:afterAutospacing="0"/>
        <w:jc w:val="center"/>
      </w:pPr>
      <w:r>
        <w:rPr>
          <w:rFonts w:ascii="Bookman Old Style" w:hAnsi="Bookman Old Style"/>
        </w:rPr>
        <w:t>MENTERI KEUANGAN REPUBLIK INDONESIA,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09"/>
        <w:gridCol w:w="131"/>
        <w:gridCol w:w="456"/>
        <w:gridCol w:w="269"/>
        <w:gridCol w:w="265"/>
        <w:gridCol w:w="101"/>
        <w:gridCol w:w="101"/>
        <w:gridCol w:w="2301"/>
        <w:gridCol w:w="1160"/>
        <w:gridCol w:w="2968"/>
      </w:tblGrid>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Menimbang</w:t>
            </w:r>
          </w:p>
        </w:tc>
        <w:tc>
          <w:tcPr>
            <w:tcW w:w="55"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w:t>
            </w: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a.</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bahwa berdasarkan Peraturan Menteri Keuangan Nomor 97/PMK.05/2010 sebagaimana telah diubah dengan Peraturan Menteri Keuangan Nomor 64/PMK.05/2011, telah ditetapkan ketentuan mengenai perjalanan dinas luar negeri bagi pejabat negara, pegawai negeri, dan pegawai tidak tetap;</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b.</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bahwa dalam rangka melaksanakan kebijakan penghematan anggaran untuk perjalanan dinas sesuai arahan Presiden Republik Indonesia pada Rapat Kabinet tanggal 1 Oktober 2013, perlu melakukan penyesuaian terhadap biaya perjalanan dinas luar negeri bagi Menteri/Pejabat setingkat Menteri dan Anggota Lembaga Negara;</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c.</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bahwa guna melaksanakan penyesuaian terhadap biaya perjalanan dinas sebagaimana dimaksud dalam huruf b, perlu mengubah Peraturan Menteri Keuangan Nomor 97/PMK.05/2010 tentang Perjalanan Dinas Luar Negeri bagi Pejabat Negara, Pegawai Negeri, dan Pegawai Tidak Tetap sebagaimana telah diubah dengan Peraturan Menteri Keuangan Nomor 64/PMK.05/2011;</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d.</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bahwa berdasarkan pertimbangan sebagaimana dimaksud dalam huruf a, huruf b, dan huruf c, perlu menetapkan Peraturan Menteri Keuangan tentang Perubahan Kedua atas Peraturan Menteri Keuangan Nomor 97/PMK.05/2010 tentang Perjalanan Dinas Luar Negeri bagi Pejabat Negara, Pegawai Negeri, dan Pegawai Tidak Tetap;</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929" w:type="pct"/>
            <w:gridSpan w:val="2"/>
            <w:tcBorders>
              <w:top w:val="nil"/>
              <w:left w:val="nil"/>
              <w:bottom w:val="nil"/>
              <w:right w:val="nil"/>
            </w:tcBorders>
            <w:hideMark/>
          </w:tcPr>
          <w:p w:rsidR="00FD0C92" w:rsidRDefault="00FD0C92" w:rsidP="00891B88">
            <w:pPr>
              <w:spacing w:line="240" w:lineRule="auto"/>
              <w:rPr>
                <w:sz w:val="24"/>
                <w:szCs w:val="24"/>
              </w:rPr>
            </w:pPr>
          </w:p>
        </w:tc>
        <w:tc>
          <w:tcPr>
            <w:tcW w:w="1522" w:type="pct"/>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Mengingat</w:t>
            </w:r>
          </w:p>
        </w:tc>
        <w:tc>
          <w:tcPr>
            <w:tcW w:w="55"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w:t>
            </w:r>
          </w:p>
        </w:tc>
        <w:tc>
          <w:tcPr>
            <w:tcW w:w="4135" w:type="pct"/>
            <w:gridSpan w:val="8"/>
            <w:tcBorders>
              <w:top w:val="nil"/>
              <w:left w:val="nil"/>
              <w:bottom w:val="nil"/>
              <w:right w:val="nil"/>
            </w:tcBorders>
            <w:hideMark/>
          </w:tcPr>
          <w:p w:rsidR="00FD0C92" w:rsidRDefault="00FD0C92" w:rsidP="00891B88">
            <w:pPr>
              <w:pStyle w:val="NormalWeb"/>
            </w:pPr>
            <w:hyperlink r:id="rId9" w:history="1">
              <w:r>
                <w:rPr>
                  <w:rStyle w:val="Hyperlink"/>
                  <w:rFonts w:ascii="Bookman Old Style" w:hAnsi="Bookman Old Style"/>
                </w:rPr>
                <w:t>Peraturan Menteri Keuangan Nomor 97/PMK.05/2010</w:t>
              </w:r>
            </w:hyperlink>
            <w:r>
              <w:rPr>
                <w:rFonts w:ascii="Bookman Old Style" w:hAnsi="Bookman Old Style"/>
              </w:rPr>
              <w:t xml:space="preserve"> tentang Perjalanan Dinas Luar Negeri bagi Pejabat Negara, Pegawai Negeri, dan Pegawai Tidak Tetap sebagaimana telah diubah dengan </w:t>
            </w:r>
            <w:hyperlink r:id="rId10" w:history="1">
              <w:r>
                <w:rPr>
                  <w:rStyle w:val="Hyperlink"/>
                  <w:rFonts w:ascii="Bookman Old Style" w:hAnsi="Bookman Old Style"/>
                </w:rPr>
                <w:t>Peraturan Menteri Keuangan Nomor 64/PMK.05/2011</w:t>
              </w:r>
            </w:hyperlink>
            <w:r>
              <w:rPr>
                <w:rFonts w:ascii="Bookman Old Style" w:hAnsi="Bookman Old Style"/>
              </w:rPr>
              <w:t>;</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929" w:type="pct"/>
            <w:gridSpan w:val="2"/>
            <w:tcBorders>
              <w:top w:val="nil"/>
              <w:left w:val="nil"/>
              <w:bottom w:val="nil"/>
              <w:right w:val="nil"/>
            </w:tcBorders>
            <w:hideMark/>
          </w:tcPr>
          <w:p w:rsidR="00FD0C92" w:rsidRDefault="00FD0C92" w:rsidP="00891B88">
            <w:pPr>
              <w:spacing w:line="240" w:lineRule="auto"/>
              <w:rPr>
                <w:sz w:val="24"/>
                <w:szCs w:val="24"/>
              </w:rPr>
            </w:pPr>
          </w:p>
        </w:tc>
        <w:tc>
          <w:tcPr>
            <w:tcW w:w="1522" w:type="pct"/>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pStyle w:val="NormalWeb"/>
              <w:jc w:val="center"/>
            </w:pPr>
            <w:r>
              <w:rPr>
                <w:rFonts w:ascii="Bookman Old Style" w:hAnsi="Bookman Old Style"/>
              </w:rPr>
              <w:t>MEMUTUSKAN:</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Menetapkan</w:t>
            </w:r>
          </w:p>
        </w:tc>
        <w:tc>
          <w:tcPr>
            <w:tcW w:w="55"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w:t>
            </w:r>
          </w:p>
        </w:tc>
        <w:tc>
          <w:tcPr>
            <w:tcW w:w="4135" w:type="pct"/>
            <w:gridSpan w:val="8"/>
            <w:tcBorders>
              <w:top w:val="nil"/>
              <w:left w:val="nil"/>
              <w:bottom w:val="nil"/>
              <w:right w:val="nil"/>
            </w:tcBorders>
            <w:hideMark/>
          </w:tcPr>
          <w:p w:rsidR="00FD0C92" w:rsidRDefault="00FD0C92" w:rsidP="00891B88">
            <w:pPr>
              <w:pStyle w:val="NormalWeb"/>
            </w:pPr>
            <w:r>
              <w:rPr>
                <w:rFonts w:ascii="Bookman Old Style" w:hAnsi="Bookman Old Style"/>
              </w:rPr>
              <w:t>PERATURAN MENTERI KEUANGAN TENTANG PERUBAHAN KEDUA ATAS PERATURAN MENTERI KEUANGAN NOMOR 97/PMK.05/2010 TENTANG PERJALANAN DINAS LUAR NEGERI BAGI PEJABAT NEGARA, PEGAWAI NEGERI, DAN PEGAWAI TIDAK TETAP.</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929" w:type="pct"/>
            <w:gridSpan w:val="2"/>
            <w:tcBorders>
              <w:top w:val="nil"/>
              <w:left w:val="nil"/>
              <w:bottom w:val="nil"/>
              <w:right w:val="nil"/>
            </w:tcBorders>
            <w:hideMark/>
          </w:tcPr>
          <w:p w:rsidR="00FD0C92" w:rsidRDefault="00FD0C92" w:rsidP="00891B88">
            <w:pPr>
              <w:spacing w:line="240" w:lineRule="auto"/>
              <w:rPr>
                <w:sz w:val="24"/>
                <w:szCs w:val="24"/>
              </w:rPr>
            </w:pPr>
          </w:p>
        </w:tc>
        <w:tc>
          <w:tcPr>
            <w:tcW w:w="1522" w:type="pct"/>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pStyle w:val="NormalWeb"/>
              <w:jc w:val="center"/>
            </w:pPr>
            <w:r>
              <w:rPr>
                <w:rFonts w:ascii="Bookman Old Style" w:hAnsi="Bookman Old Style"/>
              </w:rPr>
              <w:t>Pasal I</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4135" w:type="pct"/>
            <w:gridSpan w:val="8"/>
            <w:tcBorders>
              <w:top w:val="nil"/>
              <w:left w:val="nil"/>
              <w:bottom w:val="nil"/>
              <w:right w:val="nil"/>
            </w:tcBorders>
            <w:hideMark/>
          </w:tcPr>
          <w:p w:rsidR="00FD0C92" w:rsidRDefault="00FD0C92" w:rsidP="00891B88">
            <w:pPr>
              <w:pStyle w:val="NormalWeb"/>
            </w:pPr>
            <w:r>
              <w:rPr>
                <w:rFonts w:ascii="Bookman Old Style" w:hAnsi="Bookman Old Style"/>
              </w:rPr>
              <w:t>Ketentuan ayat (1) dan ayat (4) Pasal 15 Peraturan Menteri Keuangan Nomor 97/PMK.05/2010 tentang Perjalanan Dinas Luar Negeri bagi Pejabat Negara, Pegawai Negeri, dan Pegawai Tidak Tetap sebagaimana telah diubah dengan Peraturan Menteri Keuangan Nomor 64/PMK.05/2011 diubah, sehingga berbunyi sebagai berikut:</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929" w:type="pct"/>
            <w:gridSpan w:val="2"/>
            <w:tcBorders>
              <w:top w:val="nil"/>
              <w:left w:val="nil"/>
              <w:bottom w:val="nil"/>
              <w:right w:val="nil"/>
            </w:tcBorders>
            <w:hideMark/>
          </w:tcPr>
          <w:p w:rsidR="00FD0C92" w:rsidRDefault="00FD0C92" w:rsidP="00891B88">
            <w:pPr>
              <w:spacing w:line="240" w:lineRule="auto"/>
              <w:rPr>
                <w:sz w:val="24"/>
                <w:szCs w:val="24"/>
              </w:rPr>
            </w:pPr>
          </w:p>
        </w:tc>
        <w:tc>
          <w:tcPr>
            <w:tcW w:w="1522" w:type="pct"/>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4135" w:type="pct"/>
            <w:gridSpan w:val="8"/>
            <w:tcBorders>
              <w:top w:val="nil"/>
              <w:left w:val="nil"/>
              <w:bottom w:val="nil"/>
              <w:right w:val="nil"/>
            </w:tcBorders>
            <w:hideMark/>
          </w:tcPr>
          <w:p w:rsidR="00FD0C92" w:rsidRDefault="00FD0C92" w:rsidP="00891B88">
            <w:pPr>
              <w:pStyle w:val="NormalWeb"/>
              <w:jc w:val="center"/>
            </w:pPr>
            <w:r>
              <w:rPr>
                <w:rFonts w:ascii="Bookman Old Style" w:hAnsi="Bookman Old Style"/>
              </w:rPr>
              <w:t>Pasal 15</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(1)</w:t>
            </w:r>
          </w:p>
        </w:tc>
        <w:tc>
          <w:tcPr>
            <w:tcW w:w="3886" w:type="pct"/>
            <w:gridSpan w:val="7"/>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Biaya Perjalanan Dinas dikelompokkan dalam 4 (empat) golongan, terdiri atas:</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a.</w:t>
            </w:r>
          </w:p>
        </w:tc>
        <w:tc>
          <w:tcPr>
            <w:tcW w:w="3740" w:type="pct"/>
            <w:gridSpan w:val="6"/>
            <w:tcBorders>
              <w:top w:val="nil"/>
              <w:left w:val="nil"/>
              <w:bottom w:val="nil"/>
              <w:right w:val="nil"/>
            </w:tcBorders>
            <w:hideMark/>
          </w:tcPr>
          <w:p w:rsidR="00FD0C92" w:rsidRDefault="00FD0C92" w:rsidP="00891B88">
            <w:pPr>
              <w:pStyle w:val="NormalWeb"/>
            </w:pPr>
            <w:r>
              <w:rPr>
                <w:rFonts w:ascii="Bookman Old Style" w:hAnsi="Bookman Old Style"/>
              </w:rPr>
              <w:t>Golongan A, untuk Menteri, Ketua dan Wakil Ketua Lembaga Tinggi Negara, Duta Besar Luar Biasa Berkuasa Penuh/Kepala Perwakilan, dan pejabat negara lainnya yang setara termasuk Pimpinan Lembaga Pemerintah Non Kementerian dan Pimpinan Lembaga lain yang dibentuk berdasarkan peraturan perundang-undangan, Anggota Lembaga Tinggi Negara, Pejabat Eselon I, dan pejabat lainnya yang setara;</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b.</w:t>
            </w:r>
          </w:p>
        </w:tc>
        <w:tc>
          <w:tcPr>
            <w:tcW w:w="3740" w:type="pct"/>
            <w:gridSpan w:val="6"/>
            <w:tcBorders>
              <w:top w:val="nil"/>
              <w:left w:val="nil"/>
              <w:bottom w:val="nil"/>
              <w:right w:val="nil"/>
            </w:tcBorders>
            <w:hideMark/>
          </w:tcPr>
          <w:p w:rsidR="00FD0C92" w:rsidRDefault="00FD0C92" w:rsidP="00891B88">
            <w:pPr>
              <w:pStyle w:val="NormalWeb"/>
            </w:pPr>
            <w:r>
              <w:rPr>
                <w:rFonts w:ascii="Bookman Old Style" w:hAnsi="Bookman Old Style"/>
              </w:rPr>
              <w:t>Golongan B, untuk Duta Besar, Pegawai Negeri Sipil Golongan IV/c ke atas, Pejabat Eselon II, Perwira Tinggi TNI/Polri, utusan khusus Presiden (</w:t>
            </w:r>
            <w:r>
              <w:rPr>
                <w:rFonts w:ascii="Bookman Old Style" w:hAnsi="Bookman Old Style"/>
                <w:i/>
                <w:iCs/>
              </w:rPr>
              <w:t>special envoy</w:t>
            </w:r>
            <w:r>
              <w:rPr>
                <w:rFonts w:ascii="Bookman Old Style" w:hAnsi="Bookman Old Style"/>
              </w:rPr>
              <w:t>), dan pejabat lainnya yang setara;</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c.</w:t>
            </w:r>
          </w:p>
        </w:tc>
        <w:tc>
          <w:tcPr>
            <w:tcW w:w="3740" w:type="pct"/>
            <w:gridSpan w:val="6"/>
            <w:tcBorders>
              <w:top w:val="nil"/>
              <w:left w:val="nil"/>
              <w:bottom w:val="nil"/>
              <w:right w:val="nil"/>
            </w:tcBorders>
            <w:hideMark/>
          </w:tcPr>
          <w:p w:rsidR="00FD0C92" w:rsidRDefault="00FD0C92" w:rsidP="00891B88">
            <w:pPr>
              <w:pStyle w:val="NormalWeb"/>
            </w:pPr>
            <w:r>
              <w:rPr>
                <w:rFonts w:ascii="Bookman Old Style" w:hAnsi="Bookman Old Style"/>
              </w:rPr>
              <w:t>Golongan C, untuk Pegawai Negeri Sipil Golongan III/c sampai dengan Golongan IV/b dan Perwira Menengah TNI/Polri; dan</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d.</w:t>
            </w:r>
          </w:p>
        </w:tc>
        <w:tc>
          <w:tcPr>
            <w:tcW w:w="3740" w:type="pct"/>
            <w:gridSpan w:val="6"/>
            <w:tcBorders>
              <w:top w:val="nil"/>
              <w:left w:val="nil"/>
              <w:bottom w:val="nil"/>
              <w:right w:val="nil"/>
            </w:tcBorders>
            <w:hideMark/>
          </w:tcPr>
          <w:p w:rsidR="00FD0C92" w:rsidRDefault="00FD0C92" w:rsidP="00891B88">
            <w:pPr>
              <w:pStyle w:val="NormalWeb"/>
            </w:pPr>
            <w:r>
              <w:rPr>
                <w:rFonts w:ascii="Bookman Old Style" w:hAnsi="Bookman Old Style"/>
              </w:rPr>
              <w:t>Golongan D, Pegawai Negeri Sipil dan anggota TNI/Polri selain yang dimaksud pada Golongan B dan Golongan C;</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(2)</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 xml:space="preserve">Selain penetapan golongan biaya Perjalanan Dinas sebagaimana dimaksud pada ayat (1), untuk Pegawai Tidak </w:t>
            </w:r>
            <w:r>
              <w:rPr>
                <w:rFonts w:ascii="Bookman Old Style" w:hAnsi="Bookman Old Style"/>
              </w:rPr>
              <w:lastRenderedPageBreak/>
              <w:t>Tetap/Pihak Lain dilakukan oleh pejabat yang berwenang sesuai dengan tingkat pendidikan/keahlian/kepatutan tugas Pegawai Tidak Tetap/Pihak Lain yang bersangkutan.</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(3)</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Uang harian diberikan berdasarkan kelompok golongan Perjalanan Dinas sebagaimana dimaksud pada ayat (1) paling tinggi sebesar tarif yang tercantum dalam Standar Biaya yang ditetapkan dalam Peraturan Menteri Keuangan.</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(3a)</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Besaran uang harian bagi negara akreditasi yang tidak tercantum dalam Lampiran Peraturan Menteri Keuangan yang mengatur mengenai Standar Biaya merujuk pada besaran uang harian negara dimana Perwakilan Republik Indonesia bersangkutan berkedudukan.</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(4)</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Klasifikasi kelas Moda Transportasi untuk masing-masing golongan sebagai berikut:</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a.</w:t>
            </w:r>
          </w:p>
        </w:tc>
        <w:tc>
          <w:tcPr>
            <w:tcW w:w="3740" w:type="pct"/>
            <w:gridSpan w:val="6"/>
            <w:tcBorders>
              <w:top w:val="nil"/>
              <w:left w:val="nil"/>
              <w:bottom w:val="nil"/>
              <w:right w:val="nil"/>
            </w:tcBorders>
            <w:hideMark/>
          </w:tcPr>
          <w:p w:rsidR="00FD0C92" w:rsidRDefault="00FD0C92" w:rsidP="00891B88">
            <w:pPr>
              <w:pStyle w:val="NormalWeb"/>
            </w:pPr>
            <w:r>
              <w:rPr>
                <w:rFonts w:ascii="Bookman Old Style" w:hAnsi="Bookman Old Style"/>
              </w:rPr>
              <w:t>Moda Transportasi Udara terdiri dari:</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1)</w:t>
            </w:r>
          </w:p>
        </w:tc>
        <w:tc>
          <w:tcPr>
            <w:tcW w:w="3596" w:type="pct"/>
            <w:gridSpan w:val="5"/>
            <w:tcBorders>
              <w:top w:val="nil"/>
              <w:left w:val="nil"/>
              <w:bottom w:val="nil"/>
              <w:right w:val="nil"/>
            </w:tcBorders>
            <w:hideMark/>
          </w:tcPr>
          <w:p w:rsidR="00FD0C92" w:rsidRDefault="00FD0C92" w:rsidP="00891B88">
            <w:pPr>
              <w:pStyle w:val="NormalWeb"/>
            </w:pPr>
            <w:r>
              <w:rPr>
                <w:rFonts w:ascii="Bookman Old Style" w:hAnsi="Bookman Old Style"/>
              </w:rPr>
              <w:t>Klasifikasi First diberikan untuk Golongan A bagi Ketua dan Wakil Ketua Lembaga Tinggi Negara;</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2)</w:t>
            </w:r>
          </w:p>
        </w:tc>
        <w:tc>
          <w:tcPr>
            <w:tcW w:w="3596" w:type="pct"/>
            <w:gridSpan w:val="5"/>
            <w:tcBorders>
              <w:top w:val="nil"/>
              <w:left w:val="nil"/>
              <w:bottom w:val="nil"/>
              <w:right w:val="nil"/>
            </w:tcBorders>
            <w:hideMark/>
          </w:tcPr>
          <w:p w:rsidR="00FD0C92" w:rsidRDefault="00FD0C92" w:rsidP="00891B88">
            <w:pPr>
              <w:pStyle w:val="NormalWeb"/>
            </w:pPr>
            <w:r>
              <w:rPr>
                <w:rFonts w:ascii="Bookman Old Style" w:hAnsi="Bookman Old Style"/>
              </w:rPr>
              <w:t>Klasifikasi Business diberikan untuk Golongan A bagi Menteri, Duta Besar Luar Biasa Berkuasa Penuh/Kepala Perwakilan, dan pejabat negara lainnya yang setara termasuk Pimpinan Lembaga Pemerintah Non Kementerian dan Pimpinan Lembaga lain yang dibentuk berdasarkan peraturan perundang-undangan, Anggota Lembaga Tinggi Negara, Pejabat Eselon I, dan pejabat lainnya yang setara, serta Golongan B; atau</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3)</w:t>
            </w:r>
          </w:p>
        </w:tc>
        <w:tc>
          <w:tcPr>
            <w:tcW w:w="3596" w:type="pct"/>
            <w:gridSpan w:val="5"/>
            <w:tcBorders>
              <w:top w:val="nil"/>
              <w:left w:val="nil"/>
              <w:bottom w:val="nil"/>
              <w:right w:val="nil"/>
            </w:tcBorders>
            <w:hideMark/>
          </w:tcPr>
          <w:p w:rsidR="00FD0C92" w:rsidRDefault="00FD0C92" w:rsidP="00891B88">
            <w:pPr>
              <w:pStyle w:val="NormalWeb"/>
            </w:pPr>
            <w:r>
              <w:rPr>
                <w:rFonts w:ascii="Bookman Old Style" w:hAnsi="Bookman Old Style"/>
              </w:rPr>
              <w:t xml:space="preserve">Klasifikasi </w:t>
            </w:r>
            <w:r>
              <w:rPr>
                <w:rFonts w:ascii="Bookman Old Style" w:hAnsi="Bookman Old Style"/>
                <w:i/>
                <w:iCs/>
              </w:rPr>
              <w:t>Published</w:t>
            </w:r>
            <w:r>
              <w:rPr>
                <w:rFonts w:ascii="Bookman Old Style" w:hAnsi="Bookman Old Style"/>
              </w:rPr>
              <w:t xml:space="preserve"> diberikan untuk Golongan C dan Golongan D, dan apabila lama perjalanannya melebihi 8 (delapan) jam penerbangan (tidak termasuk waktu transit), dapat diberikan Klasifikasi </w:t>
            </w:r>
            <w:r>
              <w:rPr>
                <w:rFonts w:ascii="Bookman Old Style" w:hAnsi="Bookman Old Style"/>
                <w:i/>
                <w:iCs/>
              </w:rPr>
              <w:t>Business</w:t>
            </w:r>
            <w:r>
              <w:rPr>
                <w:rFonts w:ascii="Bookman Old Style" w:hAnsi="Bookman Old Style"/>
              </w:rPr>
              <w:t>; dan</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b.</w:t>
            </w:r>
          </w:p>
        </w:tc>
        <w:tc>
          <w:tcPr>
            <w:tcW w:w="3740" w:type="pct"/>
            <w:gridSpan w:val="6"/>
            <w:tcBorders>
              <w:top w:val="nil"/>
              <w:left w:val="nil"/>
              <w:bottom w:val="nil"/>
              <w:right w:val="nil"/>
            </w:tcBorders>
            <w:hideMark/>
          </w:tcPr>
          <w:p w:rsidR="00FD0C92" w:rsidRDefault="00FD0C92" w:rsidP="00891B88">
            <w:pPr>
              <w:pStyle w:val="NormalWeb"/>
            </w:pPr>
            <w:r>
              <w:rPr>
                <w:rFonts w:ascii="Bookman Old Style" w:hAnsi="Bookman Old Style"/>
              </w:rPr>
              <w:t xml:space="preserve">Moda Transportasi Darat atau Air, paling rendah klasifikasi </w:t>
            </w:r>
            <w:r>
              <w:rPr>
                <w:rFonts w:ascii="Bookman Old Style" w:hAnsi="Bookman Old Style"/>
                <w:i/>
                <w:iCs/>
              </w:rPr>
              <w:t>Business</w:t>
            </w:r>
            <w:r>
              <w:rPr>
                <w:rFonts w:ascii="Bookman Old Style" w:hAnsi="Bookman Old Style"/>
              </w:rPr>
              <w:t xml:space="preserve"> untuk semua Golongan.</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(5)</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Isteri/suami Pejabat Negara/Pegawai Negeri yang diizinkan oleh Presiden atau pejabat yang ditunjuk, untuk melakukan/mengikuti Perjalanan Dinas ke luar negeri golongannya disamakan dengan golongan suami/istri.</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(6)</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Anggota keluarga sebagaimana dimaksud dalam Pasal 12 ayat (4) digolongkan menurut golongan terakhir Pejabat Negara/Pegawai Negeri yang meninggal.</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(7)</w:t>
            </w:r>
          </w:p>
        </w:tc>
        <w:tc>
          <w:tcPr>
            <w:tcW w:w="3886" w:type="pct"/>
            <w:gridSpan w:val="7"/>
            <w:tcBorders>
              <w:top w:val="nil"/>
              <w:left w:val="nil"/>
              <w:bottom w:val="nil"/>
              <w:right w:val="nil"/>
            </w:tcBorders>
            <w:hideMark/>
          </w:tcPr>
          <w:p w:rsidR="00FD0C92" w:rsidRDefault="00FD0C92" w:rsidP="00891B88">
            <w:pPr>
              <w:pStyle w:val="NormalWeb"/>
            </w:pPr>
            <w:r>
              <w:rPr>
                <w:rFonts w:ascii="Bookman Old Style" w:hAnsi="Bookman Old Style"/>
              </w:rPr>
              <w:t>Perjalanan Dinas bagi Pejabat Negara/Pegawai Negeri/Pegawai Tidak Tetap yang bersifat rombongan dan tidak terpisahkan, golongannya dapat ditetapkan mengikuti salah satu golongan yang memungkinkan mereka menginap dalam satu hotel yang sama.</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929" w:type="pct"/>
            <w:gridSpan w:val="2"/>
            <w:tcBorders>
              <w:top w:val="nil"/>
              <w:left w:val="nil"/>
              <w:bottom w:val="nil"/>
              <w:right w:val="nil"/>
            </w:tcBorders>
            <w:hideMark/>
          </w:tcPr>
          <w:p w:rsidR="00FD0C92" w:rsidRDefault="00FD0C92" w:rsidP="00891B88">
            <w:pPr>
              <w:spacing w:line="240" w:lineRule="auto"/>
              <w:rPr>
                <w:sz w:val="24"/>
                <w:szCs w:val="24"/>
              </w:rPr>
            </w:pPr>
          </w:p>
        </w:tc>
        <w:tc>
          <w:tcPr>
            <w:tcW w:w="1522" w:type="pct"/>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pStyle w:val="NormalWeb"/>
              <w:jc w:val="center"/>
            </w:pPr>
            <w:r>
              <w:rPr>
                <w:rFonts w:ascii="Bookman Old Style" w:hAnsi="Bookman Old Style"/>
              </w:rPr>
              <w:t>Pasal II</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4135" w:type="pct"/>
            <w:gridSpan w:val="8"/>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Peraturan Menteri ini mulai berlaku pada tanggal diundangkan.</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4135" w:type="pct"/>
            <w:gridSpan w:val="8"/>
            <w:tcBorders>
              <w:top w:val="nil"/>
              <w:left w:val="nil"/>
              <w:bottom w:val="nil"/>
              <w:right w:val="nil"/>
            </w:tcBorders>
            <w:hideMark/>
          </w:tcPr>
          <w:p w:rsidR="00FD0C92" w:rsidRDefault="00FD0C92" w:rsidP="00891B88">
            <w:pPr>
              <w:spacing w:line="240" w:lineRule="auto"/>
              <w:rPr>
                <w:sz w:val="24"/>
                <w:szCs w:val="24"/>
              </w:rPr>
            </w:pPr>
            <w:r>
              <w:rPr>
                <w:rFonts w:ascii="Bookman Old Style" w:hAnsi="Bookman Old Style"/>
              </w:rPr>
              <w:t xml:space="preserve">Agar setiap orang mengetahuinya, memerintahkan pengundangan Peraturan Menteri ini dengan penempatannya dalam Berita Negara Republik Indonesia. </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285" w:type="pct"/>
            <w:tcBorders>
              <w:top w:val="nil"/>
              <w:left w:val="nil"/>
              <w:bottom w:val="nil"/>
              <w:right w:val="nil"/>
            </w:tcBorders>
            <w:hideMark/>
          </w:tcPr>
          <w:p w:rsidR="00FD0C92" w:rsidRDefault="00FD0C92" w:rsidP="00891B88">
            <w:pPr>
              <w:spacing w:line="240" w:lineRule="auto"/>
              <w:rPr>
                <w:sz w:val="24"/>
                <w:szCs w:val="24"/>
              </w:rPr>
            </w:pPr>
          </w:p>
        </w:tc>
        <w:tc>
          <w:tcPr>
            <w:tcW w:w="2166" w:type="pct"/>
            <w:gridSpan w:val="2"/>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Ditetapkan di Jakarta</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285" w:type="pct"/>
            <w:tcBorders>
              <w:top w:val="nil"/>
              <w:left w:val="nil"/>
              <w:bottom w:val="nil"/>
              <w:right w:val="nil"/>
            </w:tcBorders>
            <w:hideMark/>
          </w:tcPr>
          <w:p w:rsidR="00FD0C92" w:rsidRDefault="00FD0C92" w:rsidP="00891B88">
            <w:pPr>
              <w:spacing w:line="240" w:lineRule="auto"/>
              <w:rPr>
                <w:sz w:val="24"/>
                <w:szCs w:val="24"/>
              </w:rPr>
            </w:pPr>
          </w:p>
        </w:tc>
        <w:tc>
          <w:tcPr>
            <w:tcW w:w="2166" w:type="pct"/>
            <w:gridSpan w:val="2"/>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pada tanggal 17 Maret 2014</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285" w:type="pct"/>
            <w:tcBorders>
              <w:top w:val="nil"/>
              <w:left w:val="nil"/>
              <w:bottom w:val="nil"/>
              <w:right w:val="nil"/>
            </w:tcBorders>
            <w:hideMark/>
          </w:tcPr>
          <w:p w:rsidR="00FD0C92" w:rsidRDefault="00FD0C92" w:rsidP="00891B88">
            <w:pPr>
              <w:spacing w:line="240" w:lineRule="auto"/>
              <w:rPr>
                <w:sz w:val="24"/>
                <w:szCs w:val="24"/>
              </w:rPr>
            </w:pPr>
          </w:p>
        </w:tc>
        <w:tc>
          <w:tcPr>
            <w:tcW w:w="2166" w:type="pct"/>
            <w:gridSpan w:val="2"/>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 xml:space="preserve">MENTERI KEUANGAN REPUBLIK INDONESIA, </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285" w:type="pct"/>
            <w:tcBorders>
              <w:top w:val="nil"/>
              <w:left w:val="nil"/>
              <w:bottom w:val="nil"/>
              <w:right w:val="nil"/>
            </w:tcBorders>
            <w:hideMark/>
          </w:tcPr>
          <w:p w:rsidR="00FD0C92" w:rsidRDefault="00FD0C92" w:rsidP="00891B88">
            <w:pPr>
              <w:spacing w:line="240" w:lineRule="auto"/>
              <w:rPr>
                <w:sz w:val="24"/>
                <w:szCs w:val="24"/>
              </w:rPr>
            </w:pPr>
          </w:p>
        </w:tc>
        <w:tc>
          <w:tcPr>
            <w:tcW w:w="2166" w:type="pct"/>
            <w:gridSpan w:val="2"/>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285" w:type="pct"/>
            <w:tcBorders>
              <w:top w:val="nil"/>
              <w:left w:val="nil"/>
              <w:bottom w:val="nil"/>
              <w:right w:val="nil"/>
            </w:tcBorders>
            <w:hideMark/>
          </w:tcPr>
          <w:p w:rsidR="00FD0C92" w:rsidRDefault="00FD0C92" w:rsidP="00891B88">
            <w:pPr>
              <w:spacing w:line="240" w:lineRule="auto"/>
              <w:rPr>
                <w:sz w:val="24"/>
                <w:szCs w:val="24"/>
              </w:rPr>
            </w:pPr>
          </w:p>
        </w:tc>
        <w:tc>
          <w:tcPr>
            <w:tcW w:w="2166" w:type="pct"/>
            <w:gridSpan w:val="2"/>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 xml:space="preserve">ttd. </w:t>
            </w: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285" w:type="pct"/>
            <w:tcBorders>
              <w:top w:val="nil"/>
              <w:left w:val="nil"/>
              <w:bottom w:val="nil"/>
              <w:right w:val="nil"/>
            </w:tcBorders>
            <w:hideMark/>
          </w:tcPr>
          <w:p w:rsidR="00FD0C92" w:rsidRDefault="00FD0C92" w:rsidP="00891B88">
            <w:pPr>
              <w:spacing w:line="240" w:lineRule="auto"/>
              <w:rPr>
                <w:sz w:val="24"/>
                <w:szCs w:val="24"/>
              </w:rPr>
            </w:pPr>
          </w:p>
        </w:tc>
        <w:tc>
          <w:tcPr>
            <w:tcW w:w="2166" w:type="pct"/>
            <w:gridSpan w:val="2"/>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744" w:type="pct"/>
            <w:tcBorders>
              <w:top w:val="nil"/>
              <w:left w:val="nil"/>
              <w:bottom w:val="nil"/>
              <w:right w:val="nil"/>
            </w:tcBorders>
            <w:hideMark/>
          </w:tcPr>
          <w:p w:rsidR="00FD0C92" w:rsidRDefault="00FD0C92" w:rsidP="00891B88">
            <w:pPr>
              <w:spacing w:line="240" w:lineRule="auto"/>
              <w:rPr>
                <w:sz w:val="24"/>
                <w:szCs w:val="24"/>
              </w:rPr>
            </w:pPr>
          </w:p>
        </w:tc>
        <w:tc>
          <w:tcPr>
            <w:tcW w:w="55" w:type="pct"/>
            <w:tcBorders>
              <w:top w:val="nil"/>
              <w:left w:val="nil"/>
              <w:bottom w:val="nil"/>
              <w:right w:val="nil"/>
            </w:tcBorders>
            <w:hideMark/>
          </w:tcPr>
          <w:p w:rsidR="00FD0C92" w:rsidRDefault="00FD0C92" w:rsidP="00891B88">
            <w:pPr>
              <w:spacing w:line="240" w:lineRule="auto"/>
              <w:rPr>
                <w:sz w:val="24"/>
                <w:szCs w:val="24"/>
              </w:rPr>
            </w:pPr>
          </w:p>
        </w:tc>
        <w:tc>
          <w:tcPr>
            <w:tcW w:w="233" w:type="pct"/>
            <w:tcBorders>
              <w:top w:val="nil"/>
              <w:left w:val="nil"/>
              <w:bottom w:val="nil"/>
              <w:right w:val="nil"/>
            </w:tcBorders>
            <w:hideMark/>
          </w:tcPr>
          <w:p w:rsidR="00FD0C92" w:rsidRDefault="00FD0C92" w:rsidP="00891B88">
            <w:pPr>
              <w:spacing w:line="240" w:lineRule="auto"/>
              <w:rPr>
                <w:sz w:val="24"/>
                <w:szCs w:val="24"/>
              </w:rPr>
            </w:pPr>
          </w:p>
        </w:tc>
        <w:tc>
          <w:tcPr>
            <w:tcW w:w="130" w:type="pct"/>
            <w:tcBorders>
              <w:top w:val="nil"/>
              <w:left w:val="nil"/>
              <w:bottom w:val="nil"/>
              <w:right w:val="nil"/>
            </w:tcBorders>
            <w:hideMark/>
          </w:tcPr>
          <w:p w:rsidR="00FD0C92" w:rsidRDefault="00FD0C92" w:rsidP="00891B88">
            <w:pPr>
              <w:spacing w:line="240" w:lineRule="auto"/>
              <w:rPr>
                <w:sz w:val="24"/>
                <w:szCs w:val="24"/>
              </w:rPr>
            </w:pPr>
          </w:p>
        </w:tc>
        <w:tc>
          <w:tcPr>
            <w:tcW w:w="12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48" w:type="pct"/>
            <w:tcBorders>
              <w:top w:val="nil"/>
              <w:left w:val="nil"/>
              <w:bottom w:val="nil"/>
              <w:right w:val="nil"/>
            </w:tcBorders>
            <w:hideMark/>
          </w:tcPr>
          <w:p w:rsidR="00FD0C92" w:rsidRDefault="00FD0C92" w:rsidP="00891B88">
            <w:pPr>
              <w:spacing w:line="240" w:lineRule="auto"/>
              <w:rPr>
                <w:sz w:val="24"/>
                <w:szCs w:val="24"/>
              </w:rPr>
            </w:pPr>
          </w:p>
        </w:tc>
        <w:tc>
          <w:tcPr>
            <w:tcW w:w="1285" w:type="pct"/>
            <w:tcBorders>
              <w:top w:val="nil"/>
              <w:left w:val="nil"/>
              <w:bottom w:val="nil"/>
              <w:right w:val="nil"/>
            </w:tcBorders>
            <w:hideMark/>
          </w:tcPr>
          <w:p w:rsidR="00FD0C92" w:rsidRDefault="00FD0C92" w:rsidP="00891B88">
            <w:pPr>
              <w:spacing w:line="240" w:lineRule="auto"/>
              <w:rPr>
                <w:sz w:val="24"/>
                <w:szCs w:val="24"/>
              </w:rPr>
            </w:pPr>
          </w:p>
        </w:tc>
        <w:tc>
          <w:tcPr>
            <w:tcW w:w="2166" w:type="pct"/>
            <w:gridSpan w:val="2"/>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MUHAMAD CHATIB BASRI</w:t>
            </w: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 xml:space="preserve">Diundangkan di Jakarta </w:t>
            </w: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 xml:space="preserve">pada tanggal 17 Maret 2014 </w:t>
            </w: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MENTERI HUKUM DAN HAK ASASI MANUSIA</w:t>
            </w:r>
            <w:r>
              <w:rPr>
                <w:rFonts w:ascii="Bookman Old Style" w:hAnsi="Bookman Old Style"/>
              </w:rPr>
              <w:br/>
              <w:t xml:space="preserve">REPUBLIK INDONESIA, </w:t>
            </w: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 xml:space="preserve">ttd. </w:t>
            </w: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 xml:space="preserve">AMIR SYAMSUDIN </w:t>
            </w: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spacing w:line="240" w:lineRule="auto"/>
              <w:rPr>
                <w:sz w:val="24"/>
                <w:szCs w:val="24"/>
              </w:rPr>
            </w:pPr>
          </w:p>
        </w:tc>
      </w:tr>
      <w:tr w:rsidR="00FD0C92" w:rsidTr="00FD0C92">
        <w:trPr>
          <w:tblCellSpacing w:w="15" w:type="dxa"/>
        </w:trPr>
        <w:tc>
          <w:tcPr>
            <w:tcW w:w="4967" w:type="pct"/>
            <w:gridSpan w:val="10"/>
            <w:tcBorders>
              <w:top w:val="nil"/>
              <w:left w:val="nil"/>
              <w:bottom w:val="nil"/>
              <w:right w:val="nil"/>
            </w:tcBorders>
            <w:hideMark/>
          </w:tcPr>
          <w:p w:rsidR="00FD0C92" w:rsidRDefault="00FD0C92" w:rsidP="00891B88">
            <w:pPr>
              <w:pStyle w:val="NormalWeb"/>
              <w:spacing w:before="90" w:beforeAutospacing="0" w:after="0" w:afterAutospacing="0"/>
            </w:pPr>
            <w:r>
              <w:rPr>
                <w:rFonts w:ascii="Bookman Old Style" w:hAnsi="Bookman Old Style"/>
              </w:rPr>
              <w:t xml:space="preserve">BERITA NEGARA REPUBLIK INDONESIA TAHUN 2014 NOMOR 346 </w:t>
            </w:r>
          </w:p>
        </w:tc>
      </w:tr>
      <w:bookmarkEnd w:id="0"/>
    </w:tbl>
    <w:p w:rsidR="00ED5E49" w:rsidRPr="003B1BB1" w:rsidRDefault="00ED5E49" w:rsidP="00891B88">
      <w:pPr>
        <w:spacing w:line="240" w:lineRule="auto"/>
      </w:pPr>
    </w:p>
    <w:sectPr w:rsidR="00ED5E49" w:rsidRPr="003B1BB1" w:rsidSect="00155A49">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891B88" w:rsidRPr="00891B88">
                            <w:rPr>
                              <w:rFonts w:asciiTheme="majorHAnsi" w:hAnsiTheme="majorHAnsi"/>
                              <w:i/>
                              <w:iCs/>
                              <w:noProof/>
                              <w:sz w:val="20"/>
                              <w:szCs w:val="20"/>
                            </w:rPr>
                            <w:t>D:\My Stuffs</w:t>
                          </w:r>
                          <w:r w:rsidR="00891B88">
                            <w:rPr>
                              <w:rFonts w:asciiTheme="majorHAnsi" w:hAnsiTheme="majorHAnsi"/>
                              <w:i/>
                              <w:noProof/>
                              <w:sz w:val="20"/>
                              <w:szCs w:val="20"/>
                            </w:rPr>
                            <w:t>\luk.tsipil.ugm.ac.id\atur\sb\Permenkeu55-PMK-05-2014PerjalananDinas.docx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891B88" w:rsidRPr="00891B88">
                            <w:rPr>
                              <w:rFonts w:asciiTheme="majorHAnsi" w:hAnsiTheme="majorHAnsi"/>
                              <w:i/>
                              <w:iCs/>
                              <w:noProof/>
                              <w:sz w:val="20"/>
                              <w:szCs w:val="20"/>
                            </w:rPr>
                            <w:t>64</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891B88">
                            <w:rPr>
                              <w:rFonts w:asciiTheme="majorHAnsi" w:hAnsiTheme="majorHAnsi"/>
                              <w:i/>
                              <w:iCs/>
                              <w:noProof/>
                              <w:sz w:val="20"/>
                              <w:szCs w:val="20"/>
                            </w:rPr>
                            <w:t>Senin, 31 Maret 2014</w:t>
                          </w:r>
                          <w:r w:rsidRPr="00155A49">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891B88" w:rsidRPr="00891B88">
                      <w:rPr>
                        <w:rFonts w:asciiTheme="majorHAnsi" w:hAnsiTheme="majorHAnsi"/>
                        <w:i/>
                        <w:iCs/>
                        <w:noProof/>
                        <w:sz w:val="20"/>
                        <w:szCs w:val="20"/>
                      </w:rPr>
                      <w:t>D:\My Stuffs</w:t>
                    </w:r>
                    <w:r w:rsidR="00891B88">
                      <w:rPr>
                        <w:rFonts w:asciiTheme="majorHAnsi" w:hAnsiTheme="majorHAnsi"/>
                        <w:i/>
                        <w:noProof/>
                        <w:sz w:val="20"/>
                        <w:szCs w:val="20"/>
                      </w:rPr>
                      <w:t>\luk.tsipil.ugm.ac.id\atur\sb\Permenkeu55-PMK-05-2014PerjalananDinas.docx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891B88" w:rsidRPr="00891B88">
                      <w:rPr>
                        <w:rFonts w:asciiTheme="majorHAnsi" w:hAnsiTheme="majorHAnsi"/>
                        <w:i/>
                        <w:iCs/>
                        <w:noProof/>
                        <w:sz w:val="20"/>
                        <w:szCs w:val="20"/>
                      </w:rPr>
                      <w:t>64</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891B88">
                      <w:rPr>
                        <w:rFonts w:asciiTheme="majorHAnsi" w:hAnsiTheme="majorHAnsi"/>
                        <w:i/>
                        <w:iCs/>
                        <w:noProof/>
                        <w:sz w:val="20"/>
                        <w:szCs w:val="20"/>
                      </w:rPr>
                      <w:t>Senin, 31 Maret 2014</w:t>
                    </w:r>
                    <w:r w:rsidRPr="00155A49">
                      <w:rPr>
                        <w:rFonts w:asciiTheme="majorHAnsi" w:hAnsiTheme="majorHAnsi"/>
                        <w:i/>
                        <w:iCs/>
                        <w:sz w:val="20"/>
                        <w:szCs w:val="20"/>
                      </w:rPr>
                      <w:fldChar w:fldCharType="end"/>
                    </w:r>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891B88">
      <w:rPr>
        <w:rStyle w:val="PageNumber"/>
        <w:noProof/>
        <w:sz w:val="18"/>
        <w:szCs w:val="18"/>
        <w:lang w:val="es-ES"/>
      </w:rPr>
      <w:t>4</w:t>
    </w:r>
    <w:r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73B"/>
    <w:rsid w:val="00891B88"/>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0C92"/>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FD0C9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FD0C9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3608">
      <w:bodyDiv w:val="1"/>
      <w:marLeft w:val="0"/>
      <w:marRight w:val="0"/>
      <w:marTop w:val="0"/>
      <w:marBottom w:val="0"/>
      <w:divBdr>
        <w:top w:val="none" w:sz="0" w:space="0" w:color="auto"/>
        <w:left w:val="none" w:sz="0" w:space="0" w:color="auto"/>
        <w:bottom w:val="none" w:sz="0" w:space="0" w:color="auto"/>
        <w:right w:val="none" w:sz="0" w:space="0" w:color="auto"/>
      </w:divBdr>
    </w:div>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jdih.kemenkeu.go.id/fullText/2011/64~PMK.05~2011Per.htm" TargetMode="External"/><Relationship Id="rId4" Type="http://schemas.openxmlformats.org/officeDocument/2006/relationships/settings" Target="settings.xml"/><Relationship Id="rId9" Type="http://schemas.openxmlformats.org/officeDocument/2006/relationships/hyperlink" Target="http://www.sjdih.kemenkeu.go.id/fullText/2010/97~PMK.05~2010P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cp:lastPrinted>2013-06-30T08:54:00Z</cp:lastPrinted>
  <dcterms:created xsi:type="dcterms:W3CDTF">2014-03-30T23:31:00Z</dcterms:created>
  <dcterms:modified xsi:type="dcterms:W3CDTF">2014-03-30T23:33:00Z</dcterms:modified>
  <cp:category>Produk Hukum</cp:category>
</cp:coreProperties>
</file>