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59" w:rsidRDefault="00877259" w:rsidP="00877259">
      <w:pPr>
        <w:jc w:val="center"/>
      </w:pPr>
      <w:r>
        <w:rPr>
          <w:noProof/>
        </w:rPr>
        <w:drawing>
          <wp:inline distT="0" distB="0" distL="0" distR="0" wp14:anchorId="6F51E9F9" wp14:editId="3489F031">
            <wp:extent cx="784860" cy="828040"/>
            <wp:effectExtent l="0" t="0" r="0" b="0"/>
            <wp:docPr id="1" name="Picture 1" descr="121~2005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005_P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828040"/>
                    </a:xfrm>
                    <a:prstGeom prst="rect">
                      <a:avLst/>
                    </a:prstGeom>
                    <a:noFill/>
                    <a:ln>
                      <a:noFill/>
                    </a:ln>
                  </pic:spPr>
                </pic:pic>
              </a:graphicData>
            </a:graphic>
          </wp:inline>
        </w:drawing>
      </w:r>
    </w:p>
    <w:p w:rsidR="00877259" w:rsidRDefault="00877259" w:rsidP="00877259">
      <w:pPr>
        <w:jc w:val="center"/>
      </w:pPr>
      <w:r>
        <w:rPr>
          <w:rFonts w:ascii="Book Antiqua" w:hAnsi="Book Antiqua"/>
          <w:spacing w:val="-2"/>
          <w:sz w:val="16"/>
          <w:szCs w:val="16"/>
          <w:lang w:val="sv-SE"/>
        </w:rPr>
        <w:t xml:space="preserve">MENTERI KEUANGAN </w:t>
      </w:r>
    </w:p>
    <w:p w:rsidR="00877259" w:rsidRDefault="00877259" w:rsidP="00877259">
      <w:pPr>
        <w:spacing w:after="90"/>
        <w:jc w:val="center"/>
      </w:pPr>
      <w:r>
        <w:rPr>
          <w:rFonts w:ascii="Book Antiqua" w:hAnsi="Book Antiqua"/>
          <w:sz w:val="16"/>
          <w:szCs w:val="16"/>
          <w:lang w:val="sv-SE"/>
        </w:rPr>
        <w:t>REPUBLIK INDONESIA</w:t>
      </w:r>
    </w:p>
    <w:p w:rsidR="00877259" w:rsidRDefault="00877259" w:rsidP="00877259">
      <w:pPr>
        <w:pStyle w:val="NormalWeb"/>
        <w:spacing w:before="0" w:beforeAutospacing="0" w:after="180" w:afterAutospacing="0"/>
        <w:jc w:val="center"/>
      </w:pPr>
      <w:r>
        <w:rPr>
          <w:rFonts w:ascii="Book Antiqua" w:hAnsi="Book Antiqua"/>
        </w:rPr>
        <w:t>SALINAN</w:t>
      </w:r>
    </w:p>
    <w:p w:rsidR="00877259" w:rsidRDefault="00877259" w:rsidP="00877259">
      <w:pPr>
        <w:pStyle w:val="cm3"/>
        <w:spacing w:before="90" w:after="90" w:line="240" w:lineRule="auto"/>
        <w:jc w:val="center"/>
      </w:pPr>
      <w:r>
        <w:t xml:space="preserve">PERATURAN MENTERI KEUANGAN </w:t>
      </w:r>
      <w:r>
        <w:br/>
        <w:t xml:space="preserve">NOMOR </w:t>
      </w:r>
      <w:bookmarkStart w:id="0" w:name="_GoBack"/>
      <w:r>
        <w:t>188/PMK.04/2010</w:t>
      </w:r>
      <w:bookmarkEnd w:id="0"/>
      <w:r>
        <w:br/>
      </w:r>
      <w:r>
        <w:br/>
        <w:t xml:space="preserve">TENTANG </w:t>
      </w:r>
    </w:p>
    <w:p w:rsidR="00877259" w:rsidRDefault="00877259" w:rsidP="00877259">
      <w:pPr>
        <w:pStyle w:val="cm3"/>
        <w:spacing w:before="90" w:after="90" w:line="240" w:lineRule="auto"/>
        <w:jc w:val="center"/>
      </w:pPr>
      <w:r>
        <w:t> </w:t>
      </w:r>
    </w:p>
    <w:p w:rsidR="00877259" w:rsidRDefault="00877259" w:rsidP="00877259">
      <w:pPr>
        <w:pStyle w:val="cm3"/>
        <w:spacing w:before="90" w:after="90" w:line="240" w:lineRule="auto"/>
        <w:jc w:val="center"/>
      </w:pPr>
      <w:r>
        <w:t>IMPOR BARANG YANG DIBAWA OLEH PENUMPANG, AWAK SARANA</w:t>
      </w:r>
    </w:p>
    <w:p w:rsidR="00877259" w:rsidRDefault="00877259" w:rsidP="00877259">
      <w:pPr>
        <w:pStyle w:val="NormalWeb"/>
        <w:spacing w:before="90" w:beforeAutospacing="0" w:after="90" w:afterAutospacing="0"/>
        <w:jc w:val="center"/>
      </w:pPr>
      <w:r>
        <w:t> PENGANGKUT, PELINTAS BATAS, DAN BARANG KIRIMAN</w:t>
      </w:r>
      <w:r>
        <w:br/>
      </w:r>
      <w:r>
        <w:br/>
        <w:t>DENGAN RAHMAT TUHAN YANG MAHA ESA</w:t>
      </w:r>
      <w:r>
        <w:br/>
      </w:r>
      <w:r>
        <w:br/>
        <w:t xml:space="preserve">MENTERI KEUANGAN, </w:t>
      </w:r>
      <w:r>
        <w:br/>
        <w:t> </w:t>
      </w:r>
    </w:p>
    <w:tbl>
      <w:tblPr>
        <w:tblW w:w="5000" w:type="pct"/>
        <w:tblCellSpacing w:w="0" w:type="dxa"/>
        <w:tblCellMar>
          <w:left w:w="0" w:type="dxa"/>
          <w:right w:w="0" w:type="dxa"/>
        </w:tblCellMar>
        <w:tblLook w:val="04A0" w:firstRow="1" w:lastRow="0" w:firstColumn="1" w:lastColumn="0" w:noHBand="0" w:noVBand="1"/>
      </w:tblPr>
      <w:tblGrid>
        <w:gridCol w:w="1443"/>
        <w:gridCol w:w="181"/>
        <w:gridCol w:w="361"/>
        <w:gridCol w:w="361"/>
        <w:gridCol w:w="361"/>
        <w:gridCol w:w="271"/>
        <w:gridCol w:w="3069"/>
        <w:gridCol w:w="2979"/>
      </w:tblGrid>
      <w:tr w:rsidR="00877259" w:rsidTr="00906DD5">
        <w:trPr>
          <w:trHeight w:val="480"/>
          <w:tblCellSpacing w:w="0" w:type="dxa"/>
        </w:trPr>
        <w:tc>
          <w:tcPr>
            <w:tcW w:w="8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Menimbang</w:t>
            </w:r>
          </w:p>
        </w:tc>
        <w:tc>
          <w:tcPr>
            <w:tcW w:w="1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w:t>
            </w:r>
          </w:p>
        </w:tc>
        <w:tc>
          <w:tcPr>
            <w:tcW w:w="0" w:type="auto"/>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bahwa dalam rangka melaksanakan ketentuan Pasal 10B ayat (5), Pasal 13 ayat (2), dan Pasal 25 ayat (3) Undang-Undang Nomor 10 Tahun 1995 tentang Kepabeanan sebagaimana telah diubah dengan Undang-Undang Nomor 17 Tahun 2006, perlu menetapkan Peraturan Menteri Keuangan tentang Impor Barang Yang Dibawa Oleh Penumpang, Awak Sarana Pengangkut, Pelintas Batas, Dan Barang Kiriman; </w:t>
            </w:r>
          </w:p>
        </w:tc>
      </w:tr>
      <w:tr w:rsidR="00877259" w:rsidTr="00906DD5">
        <w:trPr>
          <w:trHeight w:val="390"/>
          <w:tblCellSpacing w:w="0" w:type="dxa"/>
        </w:trPr>
        <w:tc>
          <w:tcPr>
            <w:tcW w:w="8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Mengingat</w:t>
            </w:r>
          </w:p>
        </w:tc>
        <w:tc>
          <w:tcPr>
            <w:tcW w:w="1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50" w:type="pct"/>
            <w:gridSpan w:val="5"/>
            <w:tcBorders>
              <w:top w:val="nil"/>
              <w:left w:val="nil"/>
              <w:bottom w:val="nil"/>
              <w:right w:val="nil"/>
            </w:tcBorders>
            <w:hideMark/>
          </w:tcPr>
          <w:p w:rsidR="00877259" w:rsidRDefault="00877259" w:rsidP="00906DD5">
            <w:pPr>
              <w:pStyle w:val="NormalWeb"/>
              <w:spacing w:before="90" w:beforeAutospacing="0" w:after="0" w:afterAutospacing="0"/>
            </w:pPr>
            <w:hyperlink r:id="rId9" w:history="1">
              <w:r>
                <w:rPr>
                  <w:rStyle w:val="Hyperlink"/>
                  <w:rFonts w:ascii="Book Antiqua" w:hAnsi="Book Antiqua"/>
                </w:rPr>
                <w:t>Undang-Undang Nomor 6 Tahun 1983</w:t>
              </w:r>
            </w:hyperlink>
            <w:r>
              <w:rPr>
                <w:rFonts w:ascii="Book Antiqua" w:hAnsi="Book Antiqua"/>
              </w:rPr>
              <w:t xml:space="preserve"> tentang Ketentuan Umum dan Tata Cara Perpajakan (Lembaran Negara Republik Indonesia Tahun 1983 Nomor 49, Tambahan Lembaran Negara Republik Indonesia Nomor 3262) sebagaimana telah beberapa kali diubah terakhir dengan </w:t>
            </w:r>
            <w:hyperlink r:id="rId10" w:history="1">
              <w:r>
                <w:rPr>
                  <w:rStyle w:val="Hyperlink"/>
                  <w:rFonts w:ascii="Book Antiqua" w:hAnsi="Book Antiqua"/>
                </w:rPr>
                <w:t>Undang-Undang Nomor 28 Tahun 2007</w:t>
              </w:r>
            </w:hyperlink>
            <w:r>
              <w:rPr>
                <w:rFonts w:ascii="Book Antiqua" w:hAnsi="Book Antiqua"/>
              </w:rPr>
              <w:t xml:space="preserve"> (Lembaran Negara Republik Indonesia Tahun 2007 Nomor 85, Tambahan Lembaran Negara Republik Indonesia Nomor 4740);</w:t>
            </w:r>
          </w:p>
        </w:tc>
      </w:tr>
      <w:tr w:rsidR="00877259" w:rsidTr="00906DD5">
        <w:trPr>
          <w:trHeight w:val="30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50" w:type="pct"/>
            <w:gridSpan w:val="5"/>
            <w:tcBorders>
              <w:top w:val="nil"/>
              <w:left w:val="nil"/>
              <w:bottom w:val="nil"/>
              <w:right w:val="nil"/>
            </w:tcBorders>
            <w:hideMark/>
          </w:tcPr>
          <w:p w:rsidR="00877259" w:rsidRDefault="00877259" w:rsidP="00906DD5">
            <w:pPr>
              <w:pStyle w:val="NormalWeb"/>
              <w:spacing w:before="90" w:beforeAutospacing="0" w:after="0" w:afterAutospacing="0"/>
            </w:pPr>
            <w:hyperlink r:id="rId11" w:history="1">
              <w:r>
                <w:rPr>
                  <w:rStyle w:val="Hyperlink"/>
                  <w:rFonts w:ascii="Book Antiqua" w:hAnsi="Book Antiqua"/>
                </w:rPr>
                <w:t>Undang-Undang Nomor 7 Tahun 1983</w:t>
              </w:r>
            </w:hyperlink>
            <w:r>
              <w:rPr>
                <w:rFonts w:ascii="Book Antiqua" w:hAnsi="Book Antiqua"/>
              </w:rPr>
              <w:t xml:space="preserve"> tentang Pajak Penghasilan (Lembaran Negara Republik Indonesia Tahun 1983 Nomor 50, Tambahan Lembaran Negara Republik Indonesia Nomor 3263) sebagaimana telah beberapa kali diubah terakhir dengan </w:t>
            </w:r>
            <w:hyperlink r:id="rId12" w:history="1">
              <w:r>
                <w:rPr>
                  <w:rStyle w:val="Hyperlink"/>
                  <w:rFonts w:ascii="Book Antiqua" w:hAnsi="Book Antiqua"/>
                </w:rPr>
                <w:t>Undang-Undang Nomor 17 Tahun 2000</w:t>
              </w:r>
            </w:hyperlink>
            <w:r>
              <w:rPr>
                <w:rFonts w:ascii="Book Antiqua" w:hAnsi="Book Antiqua"/>
              </w:rPr>
              <w:t xml:space="preserve"> (Lembaran Negara Republik Indonesia Tahun 2000 Nomor 127, Tambahan Lembaran Negara Republik Indonesia Nomor 3985);</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hyperlink r:id="rId13" w:history="1">
              <w:r>
                <w:rPr>
                  <w:rStyle w:val="Hyperlink"/>
                  <w:rFonts w:ascii="Book Antiqua" w:hAnsi="Book Antiqua"/>
                </w:rPr>
                <w:t>Undang-Undang Nomor 8 Tahun 1983</w:t>
              </w:r>
            </w:hyperlink>
            <w:r>
              <w:rPr>
                <w:rFonts w:ascii="Book Antiqua" w:hAnsi="Book Antiqua"/>
              </w:rPr>
              <w:t xml:space="preserve"> tentang Pajak Pertambahan Nilai Barang dan Jasa dan Pajak Penjualan atas Barang Mewah (Lembaran Negara Republik Indonesia Tahun </w:t>
            </w:r>
            <w:r>
              <w:rPr>
                <w:rFonts w:ascii="Book Antiqua" w:hAnsi="Book Antiqua"/>
              </w:rPr>
              <w:lastRenderedPageBreak/>
              <w:t xml:space="preserve">1983 Nomor 51, Tambahan Lembaran Negara Republik Indonesia Nomor 3264) sebagaimana telah beberapa kali diubah terakhir dengan </w:t>
            </w:r>
            <w:hyperlink r:id="rId14" w:history="1">
              <w:r>
                <w:rPr>
                  <w:rStyle w:val="Hyperlink"/>
                  <w:rFonts w:ascii="Book Antiqua" w:hAnsi="Book Antiqua"/>
                </w:rPr>
                <w:t>Undang-Undang Nomor 42 Tahun 2009</w:t>
              </w:r>
            </w:hyperlink>
            <w:r>
              <w:rPr>
                <w:rFonts w:ascii="Book Antiqua" w:hAnsi="Book Antiqua"/>
              </w:rPr>
              <w:t xml:space="preserve"> (Lembaran Negara Republik Indonesia Tahun 2009 Nomor 150, Tambahan Lembaran Negara Republik Indonesia Nomor 5069);</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lastRenderedPageBreak/>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4.</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hyperlink r:id="rId15" w:history="1">
              <w:r>
                <w:rPr>
                  <w:rStyle w:val="Hyperlink"/>
                  <w:rFonts w:ascii="Book Antiqua" w:hAnsi="Book Antiqua"/>
                </w:rPr>
                <w:t>Undang-Undang Nomor 10 Tahun 1995</w:t>
              </w:r>
            </w:hyperlink>
            <w:r>
              <w:rPr>
                <w:rFonts w:ascii="Book Antiqua" w:hAnsi="Book Antiqua"/>
              </w:rPr>
              <w:t xml:space="preserve"> tentang Kepabeanan (Lembaran Negara Republik Indonesia Tahun 1995 Nomor 75, Tambahan Lembaran Negara Republik Indonesia Nomor 3612) sebagaimana telah diubah dengan </w:t>
            </w:r>
            <w:hyperlink r:id="rId16" w:history="1">
              <w:r>
                <w:rPr>
                  <w:rStyle w:val="Hyperlink"/>
                  <w:rFonts w:ascii="Book Antiqua" w:hAnsi="Book Antiqua"/>
                </w:rPr>
                <w:t>Undang-Undang Nomor 17 Tahun 2006</w:t>
              </w:r>
            </w:hyperlink>
            <w:r>
              <w:rPr>
                <w:rFonts w:ascii="Book Antiqua" w:hAnsi="Book Antiqua"/>
              </w:rPr>
              <w:t xml:space="preserve"> (Lembaran Negara Republik Indonesia Tahun 2006 Nomor 93, Tambahan Lembaran Negara Republik Indonesia Nomor 4661);</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5.</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hyperlink r:id="rId17" w:history="1">
              <w:r>
                <w:rPr>
                  <w:rStyle w:val="Hyperlink"/>
                  <w:rFonts w:ascii="Book Antiqua" w:hAnsi="Book Antiqua"/>
                </w:rPr>
                <w:t>Undang-Undang Nomor 11 Tahun 1995</w:t>
              </w:r>
            </w:hyperlink>
            <w:r>
              <w:rPr>
                <w:rFonts w:ascii="Book Antiqua" w:hAnsi="Book Antiqua"/>
              </w:rPr>
              <w:t xml:space="preserve"> tentang Cukai (Lembaran Negara Republik Indonesia Tahun 1995 Nomor 76, Tambahan Lembaran Negara Republik Indonesia Nomor 3613) sebagaimana telah diubah dengan </w:t>
            </w:r>
            <w:hyperlink r:id="rId18" w:history="1">
              <w:r>
                <w:rPr>
                  <w:rStyle w:val="Hyperlink"/>
                  <w:rFonts w:ascii="Book Antiqua" w:hAnsi="Book Antiqua"/>
                </w:rPr>
                <w:t>Undang-Undang Nomor 39 Tahun 2007</w:t>
              </w:r>
            </w:hyperlink>
            <w:r>
              <w:rPr>
                <w:rFonts w:ascii="Book Antiqua" w:hAnsi="Book Antiqua"/>
              </w:rPr>
              <w:t xml:space="preserve"> (Lembaran Negara Republik Indonesia Tahun 2007 Nomor 105, Tambahan Lembaran Negara Republik Indonesia Nomor 4755);</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6.</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hyperlink r:id="rId19" w:history="1">
              <w:r>
                <w:rPr>
                  <w:rStyle w:val="Hyperlink"/>
                  <w:rFonts w:ascii="Book Antiqua" w:hAnsi="Book Antiqua"/>
                </w:rPr>
                <w:t>Keputusan Presiden Nomor 56/P Tahun 2010</w:t>
              </w:r>
            </w:hyperlink>
            <w:r>
              <w:rPr>
                <w:rFonts w:ascii="Book Antiqua" w:hAnsi="Book Antiqua"/>
              </w:rPr>
              <w:t xml:space="preserve">;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5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MEMUTUSKAN:</w:t>
            </w:r>
          </w:p>
        </w:tc>
      </w:tr>
      <w:tr w:rsidR="00877259" w:rsidTr="00906DD5">
        <w:trPr>
          <w:trHeight w:val="990"/>
          <w:tblCellSpacing w:w="0" w:type="dxa"/>
        </w:trPr>
        <w:tc>
          <w:tcPr>
            <w:tcW w:w="8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Menetapkan</w:t>
            </w:r>
          </w:p>
        </w:tc>
        <w:tc>
          <w:tcPr>
            <w:tcW w:w="1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w:t>
            </w:r>
          </w:p>
        </w:tc>
        <w:tc>
          <w:tcPr>
            <w:tcW w:w="415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PERATURAN MENTERI KEUANGAN TENTANG IMPOR BARANG YANG DIBAWA OLEH PENUMPANG, AWAK SARANA PENGANGKUT, PELINTAS BATAS, DAN BARANG KIRIMAN. </w:t>
            </w:r>
          </w:p>
        </w:tc>
      </w:tr>
      <w:tr w:rsidR="00877259" w:rsidTr="00906DD5">
        <w:trPr>
          <w:trHeight w:val="87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5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BAB I</w:t>
            </w:r>
          </w:p>
          <w:p w:rsidR="00877259" w:rsidRDefault="00877259" w:rsidP="00906DD5">
            <w:pPr>
              <w:pStyle w:val="NormalWeb"/>
              <w:spacing w:before="90" w:beforeAutospacing="0" w:after="90" w:afterAutospacing="0"/>
              <w:jc w:val="center"/>
            </w:pPr>
            <w:r>
              <w:rPr>
                <w:rFonts w:ascii="Book Antiqua" w:hAnsi="Book Antiqua"/>
              </w:rPr>
              <w:t>KETENTUAN UMUM</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5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1</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5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Dalam Peraturan Menteri Keuangan ini yang dimaksud dengan: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Awak Sarana Pengangkut adalah setiap orang yang karena sifat pekerjaannya harus berada dalam sarana pengangkut dan datang bersama sarana pengangkut.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Pelintas Batas adalah penduduk yang berdiam atau bertempat tinggal dalam wilayah perbatasan negara serta memiliki kartu identitas yang dikeluarkan oleh instansi yang berwenang dan yang melakukan perjalanan lintas batas di daerah perbatasan melalui Pos Pengawas Lintas Batas.</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Penumpang adalah setiap orang yang melintasi perbatasan wilayah negara dengan menggunakan sarana pengangkut tetapi bukan Awak Sarana Pengangkut dan bukan Pelintas Batas.</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4.</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Perusahaan Jasa Titipan yang selanjutnya disingkat PJT adalah perusahaan yang memperoleh ijin usaha jasa titipan dari instansi terkait serta memperoleh persetujuan untuk melaksanakan kegiatan kepabeanan dari Kepala Kantor Pabean.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5.</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Dagangan adalah barang yang menurut jenis, sifat dan jumlahnya tidak wajar untuk keperluan pribadi, diimpor untuk diperjualbelikan, barang contoh, barang yang akan digunakan sebagai bahan baku atau bahan penolong untuk industri, dan/atau barang yang akan digunakan untuk tujuan selain pemakaian pribadi.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6.</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Pribadi Penumpang adalah semua barang yang dibawa oleh Penumpang, tetapi tidak termasuk Barang Dagangan.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7.</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Pribadi Awak Sarana Pengangkut adalah semua barang yang dibawa oleh Awak Sarana Pengangkut, tetapi tidak termasuk Barang Dagangan.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8.</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Pribadi Pelintas Batas adalah semua barang yang dibawa oleh Pelintas Batas, tetapi tidak termasuk Barang Dagangan.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9.</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Kiriman adalah barang impor yang dikirim oleh pengirim tertentu di luar negeri kepada penerima tertentu di dalam negeri.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10.</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i/>
                <w:iCs/>
              </w:rPr>
              <w:t>Customs Declaration</w:t>
            </w:r>
            <w:r>
              <w:rPr>
                <w:rFonts w:ascii="Book Antiqua" w:hAnsi="Book Antiqua"/>
              </w:rPr>
              <w:t xml:space="preserve"> yang selanjutnya disingkat CD adalah pemberitahuan pabean atas impor barang yang dibawa oleh Penumpang atau Awak Sarana Pengangkut.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Pas Lintas Batas yang selanjutnya disingkat PLB adalah kartu yang dikeluarkan oleh Kantor Imigrasi yang diberikan kepada Pelintas Batas.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Pos Pemeriksaan Lintas Batas yang selanjutnya disingkat PPLB adalah tempat yang ditunjuk pada perbatasan wilayah negara untuk memberitahukan dan menyelesaikan kewajiban pabean terhadap barang yang dibawa oleh Pelintas Batas.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Kartu Identitas Lintas Batas yang selanjutnya disingkat KILB adalah kartu yang dikeluarkan oleh Kantor Pabean yang membawahi Pos Pemeriksaan Lintas Batas yang diberikan kepada Pelintas Batas setelah dipenuhi persyaratan tertentu.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14.</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Buku Pas Barang Lintas Batas yang selanjutnya disingkat BPBLB adalah buku yang dipakai oleh Pejabat Bea dan Cukai untuk mencatat jumlah, jenis, dan nilai pabean atas barang yang dibawa oleh Pelintas Batas dari luar daerah pabean. </w:t>
            </w:r>
          </w:p>
        </w:tc>
      </w:tr>
      <w:tr w:rsidR="00877259" w:rsidTr="00906DD5">
        <w:trPr>
          <w:trHeight w:val="69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15.</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Jalur Hijau adalah jalur pengeluaran barang impor dengan tidak dilakukan pemeriksaan fisik barang.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16.</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Jalur Merah adalah jalur pengeluaran barang impor dengan dilakukan pemeriksaan fisik barang.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17.</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Direktur Jenderal adalah Direktur Jenderal Bea dan Cukai.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18.</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Undang-Undang Kepabeanan adalah Undang-Undang Nomor 10 Tahun 1995 tentang Kepabeanan sebagaimana telah diubah dengan Undang-Undang Nomor 17 Tahun 2006.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19.</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Pejabat Bea dan Cukai adalah pegawai Direktorat Jenderal Bea dan Cukai yang ditunjuk dalam jabatan tertentu untuk melaksanakan tugas tertentu berdasarkan Undang-Undang Kepabeanan.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20.</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Kantor Pabean adalah kantor dalam lingkungan Direktorat Jenderal Bea dan Cukai tempat dipenuhinya kewajiban pabean sesuai dengan ketentuan Undang-Undang Kepabeanan. </w:t>
            </w:r>
          </w:p>
        </w:tc>
      </w:tr>
      <w:tr w:rsidR="00877259" w:rsidTr="00906DD5">
        <w:trPr>
          <w:trHeight w:val="87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5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BAB II</w:t>
            </w:r>
          </w:p>
          <w:p w:rsidR="00877259" w:rsidRDefault="00877259" w:rsidP="00906DD5">
            <w:pPr>
              <w:pStyle w:val="NormalWeb"/>
              <w:spacing w:before="90" w:beforeAutospacing="0" w:after="90" w:afterAutospacing="0"/>
              <w:jc w:val="center"/>
            </w:pPr>
            <w:r>
              <w:rPr>
                <w:rFonts w:ascii="Book Antiqua" w:hAnsi="Book Antiqua"/>
              </w:rPr>
              <w:t>RUANG LINGKUP</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5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2</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5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impor yang dibawa oleh Penumpang, Awak Sarana Pengangkut, dan Pelintas Batas terdiri dari: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Pribadi Penumpang, Barang Pribadi Awak Sarana Pengangkut, atau Barang Pribadi Pelintas Batas; dan/atau</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Dagangan.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5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3</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Pribadi Penumpang atau Barang Pribadi Awak Sarana Pengangkut sebagaimana dimaksud dalam Pasal 2 merupakan barang yang tiba bersama Penumpang atau Awak Sarana Pengangkut.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Barang Pribadi Penumpang atau Barang Pribadi Awak Sarana Pengangkut yang tiba sebelum atau setelah kedatangan Penumpang atau Awak Sarana Pengangkut, diperlakukan sebagai barang yang tiba bersama Penumpang atau Awak Sarana Pengangkut sebagaimana dimaksud pada ayat (1), sepanjang memenuhi ketentuan sebagai berikut: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paling lama 30 (tiga puluh) hari sebelum kedatangan Penumpang atau Awak Sarana Pengangkut, dan/atau 60 (enam puluh) hari setelah kedatangan Penumpang atau Awak Sarana Pengangkut, untuk Penumpang atau Awak Sarana Pengangkut yang menggunakan sarana pengangkut laut; atau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paling lama 30 (tiga puluh) hari sebelum kedatangan Penumpang atau Awak Sarana Pengangkut, dan/atau 15 (lima belas) hari setelah Penumpang atau Awak Sarana Pengangkut tiba, untuk Penumpang atau Awak Sarana Pengangkut yang menggunakan sarana pengangkut udara.</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Barang sebagaimana dimaksud pada ayat (2) harus dapat dibuktikan kepemilikannya dengan menggunakan paspor dan </w:t>
            </w:r>
            <w:r>
              <w:rPr>
                <w:rFonts w:ascii="Book Antiqua" w:hAnsi="Book Antiqua"/>
                <w:i/>
                <w:iCs/>
              </w:rPr>
              <w:t>boarding pass</w:t>
            </w:r>
            <w:r>
              <w:rPr>
                <w:rFonts w:ascii="Book Antiqua" w:hAnsi="Book Antiqua"/>
              </w:rPr>
              <w:t xml:space="preserve"> yang bersangkutan.</w:t>
            </w:r>
          </w:p>
        </w:tc>
      </w:tr>
      <w:tr w:rsidR="00877259" w:rsidTr="00906DD5">
        <w:trPr>
          <w:trHeight w:val="13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BAB III</w:t>
            </w:r>
          </w:p>
          <w:p w:rsidR="00877259" w:rsidRDefault="00877259" w:rsidP="00906DD5">
            <w:pPr>
              <w:pStyle w:val="NormalWeb"/>
              <w:spacing w:before="0" w:beforeAutospacing="0" w:after="0" w:afterAutospacing="0"/>
              <w:jc w:val="center"/>
            </w:pPr>
            <w:r>
              <w:rPr>
                <w:rFonts w:ascii="Book Antiqua" w:hAnsi="Book Antiqua"/>
              </w:rPr>
              <w:t xml:space="preserve">PEMBERITAHUAN PABEAN ATAS BARANG IMPOR YANG </w:t>
            </w:r>
          </w:p>
          <w:p w:rsidR="00877259" w:rsidRDefault="00877259" w:rsidP="00906DD5">
            <w:pPr>
              <w:pStyle w:val="NormalWeb"/>
              <w:spacing w:before="0" w:beforeAutospacing="0" w:after="0" w:afterAutospacing="0"/>
              <w:jc w:val="center"/>
            </w:pPr>
            <w:r>
              <w:rPr>
                <w:rFonts w:ascii="Book Antiqua" w:hAnsi="Book Antiqua"/>
              </w:rPr>
              <w:t xml:space="preserve">DIBAWA OLEH PENUMPANG, AWAK SARANA PENGANGKUT, DAN </w:t>
            </w:r>
            <w:r>
              <w:rPr>
                <w:rFonts w:ascii="Book Antiqua" w:hAnsi="Book Antiqua"/>
              </w:rPr>
              <w:br/>
              <w:t>PELINTAS BATAS</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4</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Barang impor yang dibawa oleh Penumpang, Awak Sarana Pengangkut, dan Pelintas Batas wajib diberitahukan kepada Pejabat Bea dan Cukai di Kantor Pabean.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Barang impor sebagaimana dimaksud pada ayat (1) hanya dapat dikeluarkan dengan persetujuan Pejabat Bea dan Cukai.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 xml:space="preserve">Pasal 5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Penumpang dan Awak Sarana Pengangkut pada saat kedatangan wajib memberitahukan barang impor yang dibawanya kepada Pejabat Bea dan Cukai dengan menggunakan CD.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CD sebagaimana dimaksud pada ayat (1), wajib diisi dengan lengkap dan benar.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Pemberitahuan sebagaimana dimaksud pada ayat (1) dapat dilakukan secara lisan pada tempat-tempat tertentu yang ditetapkan oleh Direktur Jenderal.</w:t>
            </w:r>
          </w:p>
        </w:tc>
      </w:tr>
      <w:tr w:rsidR="00877259" w:rsidTr="00906DD5">
        <w:trPr>
          <w:trHeight w:val="615"/>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(4)</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Pelintas Batas yang tiba dari luar daerah pabean wajib memberitahukan barang yang dibawanya secara lisan kepada Pejabat Bea dan Cukai di PPLB.</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6</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Barang Pribadi Penumpang atau Barang Pribadi Awak Sarana Pengangkut yang tiba sebelum dan/atau setelah kedatangan Penumpang atau Awak Sarana Pengangkut, dapat diselesaikan oleh Penumpang atau Awak Sarana Pengangkut, atau kuasanya dengan menggunakan: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Pemberitahuan Impor Barang Khusus (PIBK), untuk Barang Pribadi Penumpang atau Barang Pribadi Awak Sarana Pengangkut yang terdaftar di dalam manifes;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CD yang digunakan pada saat kedatangan Penumpang atau Awak Sarana Pengangkut bersangkutan, untuk Barang Pribadi Penumpang atau Barang Pribadi Awak Sarana Pengangkut yang terdaftar sebagai barang </w:t>
            </w:r>
            <w:r>
              <w:rPr>
                <w:rFonts w:ascii="Book Antiqua" w:hAnsi="Book Antiqua"/>
                <w:i/>
                <w:iCs/>
              </w:rPr>
              <w:t>"Lost and</w:t>
            </w:r>
            <w:r>
              <w:rPr>
                <w:rFonts w:ascii="Book Antiqua" w:hAnsi="Book Antiqua"/>
              </w:rPr>
              <w:t xml:space="preserve"> </w:t>
            </w:r>
            <w:r>
              <w:rPr>
                <w:rFonts w:ascii="Book Antiqua" w:hAnsi="Book Antiqua"/>
                <w:i/>
                <w:iCs/>
              </w:rPr>
              <w:t>Found”</w:t>
            </w:r>
            <w:r>
              <w:rPr>
                <w:rFonts w:ascii="Book Antiqua" w:hAnsi="Book Antiqua"/>
              </w:rPr>
              <w: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Dagangan yang dibawa oleh Penumpang, Awak Sarana Pengangkut, atau Pelintas Batas, diselesaikan oleh Penumpang, Awak Sarana Pengangkut, Pelintas Batas, pemilik Barang Dagangan (importir), atau kuasanya, dengan menggunakan Pemberitahuan Impor Barang Khusus (PIBK).</w:t>
            </w:r>
          </w:p>
        </w:tc>
      </w:tr>
      <w:tr w:rsidR="00877259" w:rsidTr="00906DD5">
        <w:trPr>
          <w:trHeight w:val="165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 xml:space="preserve">BAB IV </w:t>
            </w:r>
          </w:p>
          <w:p w:rsidR="00877259" w:rsidRDefault="00877259" w:rsidP="00906DD5">
            <w:pPr>
              <w:pStyle w:val="NormalWeb"/>
              <w:spacing w:before="90" w:beforeAutospacing="0" w:after="90" w:afterAutospacing="0"/>
              <w:jc w:val="center"/>
            </w:pPr>
            <w:r>
              <w:rPr>
                <w:rFonts w:ascii="Book Antiqua" w:hAnsi="Book Antiqua"/>
              </w:rPr>
              <w:t xml:space="preserve">PEMBEBASAN BEA MASUK DAN CUKAI ATAS BARANG PRIBADI </w:t>
            </w:r>
          </w:p>
          <w:p w:rsidR="00877259" w:rsidRDefault="00877259" w:rsidP="00906DD5">
            <w:pPr>
              <w:pStyle w:val="NormalWeb"/>
              <w:spacing w:before="90" w:beforeAutospacing="0" w:after="90" w:afterAutospacing="0"/>
              <w:jc w:val="center"/>
            </w:pPr>
            <w:r>
              <w:rPr>
                <w:rFonts w:ascii="Book Antiqua" w:hAnsi="Book Antiqua"/>
              </w:rPr>
              <w:t xml:space="preserve">PENUMPANG, BARANG PRIBADI AWAK SARANA PENGANGKUT, DAN </w:t>
            </w:r>
          </w:p>
          <w:p w:rsidR="00877259" w:rsidRDefault="00877259" w:rsidP="00906DD5">
            <w:pPr>
              <w:pStyle w:val="NormalWeb"/>
              <w:spacing w:before="90" w:beforeAutospacing="0" w:after="90" w:afterAutospacing="0"/>
              <w:jc w:val="center"/>
            </w:pPr>
            <w:r>
              <w:rPr>
                <w:rFonts w:ascii="Book Antiqua" w:hAnsi="Book Antiqua"/>
              </w:rPr>
              <w:t xml:space="preserve">BARANG PRIBADI PELINTAS BATAS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7</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Terhadap Barang Pribadi Penumpang, Barang Pribadi Awak Sarana Pengangkut, dan Barang Pribadi Pelintas Batas yang semula dibawa ke luar daerah pabean dan kemudian dimasukkan kembali ke dalam daerah pabean, diberikan pembebasan bea masuk sesuai peraturan perundang-undangan yang mengatur mengenai impor kembali barang yang telah diekspor.</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Terhadap Barang Pribadi Penumpang, Barang Pribadi Awak Sarana Pengangkut, dan Barang Pribadi Pelintas Batas yang akan digunakan selama berada di daerah pabean dan akan dibawa kembali pada saat Penumpang, Awak Sarana Pengangkut, dan Pelintas Batas meninggalkan daerah pabean, diberikan pembebasan bea masuk sesuai peraturan perundang-undangan yang mengatur mengenai impor sementara.</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Selain pembebasan bea masuk sebagaimana dimaksud pada ayat (1) dan ayat (2), pembebasan bea masuk diberikan terhadap Barang Pribadi Penumpang, Barang Pribadi Awak Sarana Pengangkut, dan Barang Pribadi Pelintas Batas sampai batas nilai pabean dan/atau jumlah tertentu.</w:t>
            </w:r>
          </w:p>
        </w:tc>
      </w:tr>
      <w:tr w:rsidR="00877259" w:rsidTr="00906DD5">
        <w:trPr>
          <w:trHeight w:val="7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Bagian Kesatu</w:t>
            </w:r>
            <w:r>
              <w:rPr>
                <w:rFonts w:ascii="Book Antiqua" w:hAnsi="Book Antiqua"/>
              </w:rPr>
              <w:br/>
              <w:t>Barang Pribadi Penumpang</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8</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Terhadap Barang Pribadi Penumpang sebagaimana dimaksud dalam Pasal 7 ayat (3) dengan nilai pabean paling banyak FOB USD 250.00 (dua ratus lima puluh US Dollar) per orang atau FOB USD 1,000.00 (seribu US Dollar) per keluarga untuk setiap kedatangan, diberikan pembebasan bea masuk.</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Dalam hal Barang Pribadi Penumpang melebihi batas nilai pabean sebagaimana dimaksud pada ayat (1), atas kelebihan tersebut dipungut bea masuk dan pajak dalam rangka impor.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9</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Selain pembebasan bea masuk sebagaimana dimaksud dalam Pasal 8 ayat (1), terhadap Barang Pribadi Penumpang yang merupakan barang kena cukai, diberikan pembebasan bea masuk dan cukai untuk setiap orang dewasa dengan jumlah paling banyak: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200 (dua ratus) batang sigaret, 25 (dua puluh lima) batang cerutu, atau 100 (seratus) gram tembakau iris/hasil tembakau lainnya; dan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1 (satu) liter minuman mengandung etil alkohol.</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Dalam hal hasil tembakau sebagaimana dimaksud pada ayat (1) huruf a lebih dari 1 (satu) jenis, pembebasan bea masuk dan cukai diberikan setara dengan perbandingan jumlah per jenis hasil tembakau tersebut.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Dalam hal Barang Pribadi Penumpang yang merupakan barang kena cukai melebihi jumlah sebagaimana dimaksud pada ayat (1), atas kelebihan barang kena cukai tersebut langsung dimusnahkan oleh Pejabat Bea dan Cukai dengan atau tanpa disaksikan Penumpang yang bersangkutan. </w:t>
            </w:r>
          </w:p>
        </w:tc>
      </w:tr>
      <w:tr w:rsidR="00877259" w:rsidTr="00906DD5">
        <w:trPr>
          <w:trHeight w:val="7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 xml:space="preserve">Bagian Kedua </w:t>
            </w:r>
            <w:r>
              <w:rPr>
                <w:rFonts w:ascii="Book Antiqua" w:hAnsi="Book Antiqua"/>
              </w:rPr>
              <w:br/>
              <w:t xml:space="preserve">Barang Pribadi Awak Sarana Pengangkut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10</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Terhadap Barang Pribadi Awak Sarana Pengangkut sebagaimana dimaksud dalam Pasal 7 ayat (3) dengan nilai pabean paling banyak FOB USD 50.00 (lima puluh US Dollar) per orang untuk setiap kedatangan, diberikan pembebasan bea masuk.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Dalam hal Barang Pribadi Awak Sarana Pengangkut melebihi batas nilai pabean sebagaimana dimaksud pada ayat (1), atas kelebihan tersebut dipungut bea masuk dan pajak dalam rangka impor.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11</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Selain pembebasan bea masuk sebagaimana dimaksud dalam Pasal 10 ayat (1), terhadap Barang Pribadi Awak Sarana Pengangkut yang merupakan barang kena cukai, diberikan pembebasan bea masuk dan cukai dengan jumlah paling banyak: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40 (empat puluh) batang sigaret, 10 (sepuluh) batang cerutu, atau 40 (empat puluh) gram tembakau iris/ hasil tembakau lainnya; dan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350 (tiga ratus lima puluh) mililiter minuman mengandung etil alkohol.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Dalam hal hasil tembakau sebagaimana dimaksud pada ayat (1) huruf a lebih dari satu jenis, pembebasan bea masuk dan cukai diberikan setara dengan perbandingan jumlah per jenis hasil tembakau tersebut.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Dalam hal Barang Pribadi Awak Sarana Pengangkut yang merupakan barang kena cukai melebihi jumlah sebagaimana dimaksud pada ayat (1), atas kelebihan barang kena cukai tersebut langsung dimusnahkan oleh Pejabat Bea dan Cukai dengan atau tanpa disaksikan Awak Sarana Pengangkut yang bersangkutan. </w:t>
            </w:r>
          </w:p>
        </w:tc>
      </w:tr>
      <w:tr w:rsidR="00877259" w:rsidTr="00906DD5">
        <w:trPr>
          <w:trHeight w:val="7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Bagian Ketiga</w:t>
            </w:r>
            <w:r>
              <w:rPr>
                <w:rFonts w:ascii="Book Antiqua" w:hAnsi="Book Antiqua"/>
              </w:rPr>
              <w:br/>
              <w:t>Barang Pribadi Pelintas Batas</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12</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Terhadap Barang Pribadi Pelintas Batas sebagaimana dimaksud dalam Pasal 7 ayat (3) diberikan pembebasan bea masuk, dengan ketentuan nilai pabean sebagai berikut: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Indonesia dengan Papua New Guinea paling banyak FOB USD 300.00 (tiga ratus US Dollar) per orang untuk jangka waktu 1 (satu) bulan;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Indonesia dengan Malaysia:</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500" w:type="pct"/>
            <w:gridSpan w:val="3"/>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paling banyak FOB MYR 600.00 (enam ratus Ringgit Malaysia) per orang untuk jangka waktu 1 (satu) bulan, apabila melewati batas daratan (</w:t>
            </w:r>
            <w:r>
              <w:rPr>
                <w:rFonts w:ascii="Book Antiqua" w:hAnsi="Book Antiqua"/>
                <w:i/>
                <w:iCs/>
              </w:rPr>
              <w:t>land</w:t>
            </w:r>
            <w:r>
              <w:rPr>
                <w:rFonts w:ascii="Book Antiqua" w:hAnsi="Book Antiqua"/>
              </w:rPr>
              <w:t xml:space="preserve"> </w:t>
            </w:r>
            <w:r>
              <w:rPr>
                <w:rFonts w:ascii="Book Antiqua" w:hAnsi="Book Antiqua"/>
                <w:i/>
                <w:iCs/>
              </w:rPr>
              <w:t>border</w:t>
            </w:r>
            <w:r>
              <w:rPr>
                <w:rFonts w:ascii="Book Antiqua" w:hAnsi="Book Antiqua"/>
              </w:rPr>
              <w: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500" w:type="pct"/>
            <w:gridSpan w:val="3"/>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paling banyak FOB MYR 600.00 (enam ratus Ringgit Malaysia) setiap perahu untuk setiap trip, apabila melalui batas lautan (</w:t>
            </w:r>
            <w:r>
              <w:rPr>
                <w:rFonts w:ascii="Book Antiqua" w:hAnsi="Book Antiqua"/>
                <w:i/>
                <w:iCs/>
              </w:rPr>
              <w:t>sea border</w:t>
            </w:r>
            <w:r>
              <w:rPr>
                <w:rFonts w:ascii="Book Antiqua" w:hAnsi="Book Antiqua"/>
              </w:rPr>
              <w: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c.</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Indonesia dengan Filipina paling banyak FOB USD 250.00 (dua ratus lima puluh US Dollar) per orang untuk jangka waktu 1 (satu) bulan.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d.</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Indonesia dengan Timor Leste paling banyak FOB USD 50.00 (lima puluh US Dollar) per orang per hari.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Dalam hal Barang Pribadi Pelintas Batas melebihi batas nilai pabean sebagaimana dimaksud pada ayat (1), atas kelebihan nilai pabean tersebut dipungut bea masuk dan pajak dalam rangka impor.</w:t>
            </w:r>
          </w:p>
        </w:tc>
      </w:tr>
      <w:tr w:rsidR="00877259" w:rsidTr="00906DD5">
        <w:trPr>
          <w:trHeight w:val="120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4100" w:type="pct"/>
            <w:gridSpan w:val="6"/>
            <w:tcBorders>
              <w:top w:val="nil"/>
              <w:left w:val="nil"/>
              <w:bottom w:val="nil"/>
              <w:right w:val="nil"/>
            </w:tcBorders>
            <w:vAlign w:val="center"/>
            <w:hideMark/>
          </w:tcPr>
          <w:p w:rsidR="00877259" w:rsidRDefault="00877259" w:rsidP="00906DD5">
            <w:pPr>
              <w:pStyle w:val="NormalWeb"/>
              <w:spacing w:before="0" w:beforeAutospacing="0" w:after="0" w:afterAutospacing="0"/>
              <w:jc w:val="center"/>
            </w:pPr>
            <w:r>
              <w:rPr>
                <w:rFonts w:ascii="Book Antiqua" w:hAnsi="Book Antiqua"/>
              </w:rPr>
              <w:t>BAB V</w:t>
            </w:r>
            <w:r>
              <w:rPr>
                <w:rFonts w:ascii="Book Antiqua" w:hAnsi="Book Antiqua"/>
              </w:rPr>
              <w:br/>
              <w:t>PEMERIKSAAN DAN PENGELUARAN BARANG IMPOR YANG DIBAWA</w:t>
            </w:r>
          </w:p>
          <w:p w:rsidR="00877259" w:rsidRDefault="00877259" w:rsidP="00906DD5">
            <w:pPr>
              <w:pStyle w:val="NormalWeb"/>
              <w:spacing w:before="0" w:beforeAutospacing="0" w:after="0" w:afterAutospacing="0"/>
              <w:jc w:val="center"/>
            </w:pPr>
            <w:r>
              <w:rPr>
                <w:rFonts w:ascii="Book Antiqua" w:hAnsi="Book Antiqua"/>
              </w:rPr>
              <w:t xml:space="preserve"> OLEH PENUMPANG, AWAK SARANA PENGANGKUT, DAN PELINTAS </w:t>
            </w:r>
          </w:p>
          <w:p w:rsidR="00877259" w:rsidRDefault="00877259" w:rsidP="00906DD5">
            <w:pPr>
              <w:pStyle w:val="NormalWeb"/>
              <w:spacing w:before="0" w:beforeAutospacing="0" w:after="0" w:afterAutospacing="0"/>
              <w:jc w:val="center"/>
            </w:pPr>
            <w:r>
              <w:rPr>
                <w:rFonts w:ascii="Book Antiqua" w:hAnsi="Book Antiqua"/>
              </w:rPr>
              <w:t>BATAS</w:t>
            </w:r>
          </w:p>
        </w:tc>
      </w:tr>
      <w:tr w:rsidR="00877259" w:rsidTr="00906DD5">
        <w:trPr>
          <w:trHeight w:val="10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Bagian Kesatu</w:t>
            </w:r>
            <w:r>
              <w:rPr>
                <w:rFonts w:ascii="Book Antiqua" w:hAnsi="Book Antiqua"/>
              </w:rPr>
              <w:br/>
              <w:t>Pemeriksaan dan Pengeluaran Barang Impor yang</w:t>
            </w:r>
            <w:r>
              <w:rPr>
                <w:rFonts w:ascii="Book Antiqua" w:hAnsi="Book Antiqua"/>
              </w:rPr>
              <w:br/>
              <w:t>Dibawa oleh Penumpang atau Awak Sarana Pengangkut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 xml:space="preserve">Pasal 13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Berdasarkan pemberitahuan sebagaimana dimaksud dalam Pasal 5 ayat (1) atau ayat (3), Penumpang atau Awak Sarana Pengangkut harus mengeluarkan barang impor melalui: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Jalur Merah, dalam hal Penumpang atau Awak Sarana Pengangkut membawa barang impor: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500" w:type="pct"/>
            <w:gridSpan w:val="3"/>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berupa Barang Pribadi Penumpang atau Barang Pribadi Awak Sarana Pengangkut dengan nilai pabean melebihi batas pembebasan bea masuk yang diberikan dan/atau melebihi jumlah barang kena cukai yang diberikan pembebasan bea masuk dan cukai;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500" w:type="pct"/>
            <w:gridSpan w:val="3"/>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berupa hewan, ikan, dan tumbuhan termasuk produk yang berasal dari hewan, ikan, dan tumbuhan;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500" w:type="pct"/>
            <w:gridSpan w:val="3"/>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berupa narkotika, psikotropika, prekursor, obat-obatan, senjata api, senjata angin, senjata tajam, amunisi, bahan peledak, benda/publikasi pornografi;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4)</w:t>
            </w:r>
          </w:p>
        </w:tc>
        <w:tc>
          <w:tcPr>
            <w:tcW w:w="3500" w:type="pct"/>
            <w:gridSpan w:val="3"/>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berupa uang dan/atau instrumen pembayaran lainnya dalam Rupiah atau dalam mata uang asing senilai Rp100.000.000,00 (seratus juta rupiah) atau lebih; dan/atau</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5)</w:t>
            </w:r>
          </w:p>
        </w:tc>
        <w:tc>
          <w:tcPr>
            <w:tcW w:w="3500" w:type="pct"/>
            <w:gridSpan w:val="3"/>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berupa Barang Dagangan.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Jalur Hijau, dalam hal Penumpang atau Awak Sarana Pengangkut tidak membawa barang impor sebagaimana dimaksud pada huruf a.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Setelah menerima pemberitahuan sebagaimana dimaksud dalam Pasal 5 ayat (1) atau ayat (3), Pejabat Bea dan Cukai: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memberikan persetujuan pengeluaran barang, dalam hal Penumpang atau Awak Sarana Pengangkut melalui Jalur Hijau;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melakukan pemeriksaan fisik, dalam hal Penumpang atau Awak Sarana Pengangkut melalui Jalur Merah; dan/atau</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c.</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menyerahkan barang sebagaimana dimaksud pada ayat (1) huruf a angka 2) kepada Pejabat Karantina.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Pengeluaran Barang Pribadi Penumpang atau Barang Pribadi Awak Sarana Pengangkut yang terdaftar sebagai barang </w:t>
            </w:r>
            <w:r>
              <w:rPr>
                <w:rFonts w:ascii="Book Antiqua" w:hAnsi="Book Antiqua"/>
                <w:i/>
                <w:iCs/>
              </w:rPr>
              <w:t>“Lost and Found”</w:t>
            </w:r>
            <w:r>
              <w:rPr>
                <w:rFonts w:ascii="Book Antiqua" w:hAnsi="Book Antiqua"/>
              </w:rPr>
              <w:t xml:space="preserve"> sebagaimana dimaksud pada Pasal 6 ayat (1) huruf b, harus melalui Jalur Merah.</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(4)</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Dalam hal terdapat kecurigaan, Pejabat Bea dan Cukai berwenang melakukan pemeriksaan fisik atas barang impor yang dibawa oleh Penumpang dan Awak Sarana Pengangkut yang dikeluarkan melalui Jalur Hijau.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14</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Apabila dari hasil pemeriksaan fisik sebagaimana dimaksud dalam Pasal 13 ayat (2) huruf b, ditemukan: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kelebihan barang kena cukai dari jumlah yang ditentukan, terhadap kelebihan barang kena cukai tersebut langsung dimusnahkan oleh Pejabat Bea dan Cukai dengan atau tanpa disaksikan Penumpang atau Awak Sarana Pengangkut yang bersangkutan.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barang yang terkena larangan atau pembatasan impor, Pejabat Bea dan Cukai melakukan penindakan sesuai peraturan perundang-undangan yang berlaku.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c.</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uang dan/atau instrumen pembayaran lainnya dalam Rupiah atau dalam mata uang asing melebihi Rp100.000.000,00 (seratus juta rupiah) diselesaikan sesuai peraturan perundang-undangan yang berlaku.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d.</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Barang Pribadi Penumpang atau Barang Pribadi Awak Sarana Pengangkut dengan nilai pabean tidak melebihi batas pembebasan bea masuk sebagaimana dimaksud dalam Pasal 8 ayat (1) atau Pasal 10 ayat (1), terhadap Barang Pribadi Penumpang atau Barang Pribadi Awak Sarana Pengangkut tersebut diberikan pembebasan bea masuk.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e.</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Pribadi Penumpang atau Barang Pribadi Awak Sarana Pengangkut dengan nilai pabean melebihi batas pembebasan bea masuk sebagaimana dimaksud dalam Pasal 8 ayat (1) atau Pasal 10 ayat (1), atas kelebihan nilai pabean tersebut dipungut bea masuk dan pajak dalam rangka impor dengan dasar nilai pabean penuh dikurangi dengan nilai pabean yang mendapatkan pembebasan bea masuk.</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f.</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Dagangan, terhadap Barang Dagangan tersebut dipungut bea masuk, dan pajak dalam rangka impor serta berlaku ketentuan umum di bidang impor.</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Dalam hal dari hasil pemeriksaan fisik sebagaimana dimaksud dalam Pasal 13 ayat (2) huruf b tidak ditemukan barang sebagaimana dimaksud pada ayat (1) huruf a, huruf b, huruf c, huruf e, dan/atau huruf f, Pejabat Bea dan Cukai memberikan persetujuan pengeluaran barang tersebut.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15</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Pejabat Bea dan Cukai melakukan pencatatan terhadap hasil pemeriksaan fisik sebagaimana dimaksud dalam Pasal 14 ayat (1) huruf e, dan berdasarkan hasil pemeriksaan fisik tersebut Pejabat Bea dan Cukai menetapkan tarif dan nilai pabean serta menghitung bea masuk dan pajak dalam rangka impor.</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Penumpang atau Awak Sarana Pengangkut wajib membayar bea masuk dan pajak dalam rangka impor berdasarkan penetapan Pejabat Bea dan Cukai sebagaimana dimaksud pada ayat (1).</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Atas pembayaran bea masuk dan pajak dalam rangka impor sebagaimana dimaksud pada ayat (2), Pejabat Bea dan Cukai: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memberikan bukti pembayaran kepada Penumpang atau Awak Sarana Pengangkut; dan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membukukan data Barang Pribadi Penumpang atau Barang Pribadi Awak Sarana Pengangkut yang dikenakan pembayaran bea masuk dan pajak dalam rangka impor ke dalam buku catatan pabean.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16</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Apabila dari hasil pemeriksaan fisik sebagaimana dimaksud dalam Pasal 13 ayat (4), ditemukan barang impor sebagaimana dimaksud dalam Pasal 13 ayat (1) huruf a, Pejabat Bea dan Cukai melakukan penindakan sesuai peraturan perundang-undangan yang berlaku.</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17</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Pejabat Bea dan Cukai memberikan persetujuan pengeluaran atas Barang Pribadi Penumpang atau Barang Pribadi Awak Sarana Pengangkut sebagaimana dimaksud dalam Pasal 14 ayat (1) huruf e, setelah Penumpang atau Awak Sarana Pengangkut melunasi bea masuk dan pajak dalam rangka impor.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Persetujuan pengeluaran atas Barang Pribadi Penumpang atau Barang Pribadi Awak Sarana Pengangkut yang:</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semula dibawa ke luar daerah pabean dan kemudian dimasukkan kembali ke dalam daerah pabean, dilaksanakan sesuai peraturan perundang-undangan yang mengatur mengenai impor kembali barang yang telah diekspor;</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akan digunakan selama berada di daerah pabean dan akan dibawa kembali pada saat meninggalkan daerah pabean oleh Penumpang atau Awak Sarana Pengangkut, dilaksanakan sesuai peraturan perundang-undangan yang mengatur mengenai impor sementara.</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18</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Pada saat keberangkatan ke luar daerah pabean, Penumpang atau Awak Sarana Pengangkut dapat meminta Pejabat Bea dan Cukai untuk melakukan pemeriksaan fisik guna mengidentifikasi Barang Pribadi Penumpang atau Barang Pribadi Awak Sarana Pengangkut, jika hal tersebut akan mempermudah pemasukan kembali barang tersebut ke dalam daerah pabean dengan mendapatkan pembebasan bea masuk sebagaimana dimaksud dalam Pasal 7 ayat (1).</w:t>
            </w:r>
          </w:p>
        </w:tc>
      </w:tr>
      <w:tr w:rsidR="00877259" w:rsidTr="00906DD5">
        <w:trPr>
          <w:trHeight w:val="10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Bagian Kedua</w:t>
            </w:r>
            <w:r>
              <w:rPr>
                <w:rFonts w:ascii="Book Antiqua" w:hAnsi="Book Antiqua"/>
              </w:rPr>
              <w:br/>
              <w:t xml:space="preserve">Pemeriksaan dan Pengeluaran Barang Impor </w:t>
            </w:r>
            <w:r>
              <w:rPr>
                <w:rFonts w:ascii="Book Antiqua" w:hAnsi="Book Antiqua"/>
              </w:rPr>
              <w:br/>
              <w:t>yang Dibawa oleh Pelintas Batas</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19</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Setiap Pelintas Batas yang membawa barang impor wajib memiliki KILB.</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KILB sebagaimana dimaksud pada ayat (1) dikeluarkan oleh Kepala Kantor Pabean yang mengawasi PPLB atas permohonan Pelintas Batas.</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Permohonan sebagaimana dimaksud pada ayat (2), diajukan kepada Kepala Kantor Pabean dengan dilampiri fotokopi Kartu Tanda Penduduk dan fotokopi PLB yang ditandasahkan oleh pejabat yang berwenang.</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(4)</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Dalam hal permohonan sebagaimana dimaksud pada ayat (2) telah memenuhi persyaratan sebagaimana dimaksud pada ayat (3), Kepala Kantor Pabean memberikan KILB kepada Pelintas Batas tersebut dan dibuatkan BPBLB sesuai dengan contoh format sebagaimana tercantum dalam Lampiran I dan Lampiran II Peraturan Menteri Keuangan ini yang merupakan bagian yang tidak terpisahkan dari Peraturan Menteri Keuangan ini.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20</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Pelintas Batas yang tiba dari luar daerah pabean wajib menunjukkan KILB kepada Pejabat Bea dan Cukai di PPLB.</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Pelintas Batas yang tidak dapat menunjukkan KILB tidak diberikan pembebasan bea masuk sebagaimana dimaksud dalam Pasal 12 ayat (1).</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Setelah menerima KILB dan pemberitahuan pabean sebagaimana dimaksud dalam Pasal 5 ayat (4), Pejabat Bea dan Cukai di PPLB:</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melakukan pemeriksaan fisik dan menuangkan hasil pemeriksaan fisik tersebut ke dalam Nota Pemeriksaan sesuai contoh format sebagaimana tercantum dalam Lampiran III Peraturan Menteri Keuangan ini yang merupakan bagian yang tidak terpisahkan dari Peraturan Menteri Keuangan ini; dan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menetapkan tarif dan nilai pabean sesuai dengan peraturan perundang-undangan yang berlaku.</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(4)</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Apabila dari hasil pemeriksaan fisik sebagaimana dimaksud pada ayat (3), ditemukan: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barang yang terkena larangan atau pembatasan impor, Pejabat Bea dan Cukai melakukan penindakan sesuai dengan peraturan perundang-undangan yang berlaku.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Barang Pribadi Pelintas Batas dengan nilai pabean tidak melebihi batas pembebasan bea masuk sebagaimana dimaksud dalam Pasal 12 ayat (1), terhadap Barang Pribadi Pelintas Batas tersebut diberikan pembebasan bea masuk.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c.</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uang dan/atau instrumen pembayaran lainnya dalam Rupiah atau dalam mata uang asing melebihi Rp100.000.000,00 (seratus juta rupiah) diselesaikan sesuai peraturan perundang-undangan yang berlaku.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d.</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Pribadi Pelintas Batas dengan nilai pabean melebihi batas pembebasan bea masuk sebagaimana dimaksud dalam Pasal 12 ayat (1), atas kelebihan nilai pabean tersebut dipungut bea masuk dan pajak dalam rangka impor dengan dasar nilai pabean penuh dikurangi dengan nilai pabean yang mendapatkan pembebasan bea masuk.</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e.</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Dagangan, terhadap Barang Dagangan tersebut dipungut bea masuk, dan pajak dalam rangka impor serta berlaku ketentuan umum di bidang impor.</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(5)</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Dalam hal dari hasil pemeriksaan fisik tidak ditemukan barang dengan kondisi sebagaimana dimaksud pada ayat (4) huruf a, huruf c, huruf d, dan/atau huruf e, Pejabat Bea dan Cukai memberikan persetujuan pengeluaran barang tersebut.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21</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Persetujuan pengeluaran atas Barang Pribadi Pelintas Batas sebagaimana dimaksud dalam Pasal 20 ayat (4) huruf d, diberikan oleh Pejabat Bea dan Cukai setelah Pelintas Batas melunasi bea masuk dan pajak dalam rangka impor.</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Persetujuan pengeluaran Barang Pribadi Pelintas Batas yang semula dibawa ke luar daerah pabean dan kemudian dimasukkan kembali ke dalam daerah pabean dilaksanakan sesuai ketentuan perundang-undangan yang mengatur mengenai impor kembali barang yang telah diekspor.</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22</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Pada saat keberangkatan ke luar daerah pabean, Pelintas Batas dapat meminta Pejabat Bea dan Cukai untuk melakukan pemeriksaan fisik guna mengidentifikasi Barang Pribadi Pelintas Batas, jika hal tersebut akan mempermudah pemasukan kembali barang tersebut ke dalam daerah pabean dengan mendapatkan pembebasan bea masuk sebagaimana dimaksud dalam Pasal 7 ayat (1).</w:t>
            </w:r>
          </w:p>
        </w:tc>
      </w:tr>
      <w:tr w:rsidR="00877259" w:rsidTr="00906DD5">
        <w:trPr>
          <w:trHeight w:val="7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BAB VI</w:t>
            </w:r>
            <w:r>
              <w:rPr>
                <w:rFonts w:ascii="Book Antiqua" w:hAnsi="Book Antiqua"/>
              </w:rPr>
              <w:br/>
              <w:t xml:space="preserve">BARANG KIRIMAN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23</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Terhadap Barang Kiriman, diberikan pembebasan bea masuk dengan nilai pabean paling banyak FOB USD 50.00 (lima puluh US Dollar) untuk setiap orang per kiriman.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Dalam hal Barang Kiriman melebihi batas nilai pabean sebagaimana dimaksud pada ayat (1), atas kelebihan tersebut dipungut bea masuk dan pajak dalam rangka impor.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24</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Barang Kiriman wajib diberitahukan kepada Pejabat Bea dan Cukai di Kantor Pabean.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Kiriman sebagaimana dimaksud pada ayat (1) hanya dapat dikeluarkan dengan persetujuan Pejabat Bea dan Cukai.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25</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Impor Barang Kiriman dilakukan melalui pos atau PJT.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Terhadap Barang Kiriman sebagaimana dimaksud pada ayat (1) dilakukan pemeriksaan pabean oleh Pejabat Bea dan Cukai.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Pemeriksaan pabean sebagaimana dimaksud pada ayat (2) meliputi penelitian dokumen dan pemeriksaan fisik barang.</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(4)</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Pemeriksaan fisik barang sebagaimana dimaksud pada ayat (3) dilakukan secara selektif.</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(5)</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Dalam hal dilakukan pemeriksaan fisik barang sebagaimana dimaksud pada ayat (4), pemeriksaan fisik tersebut disaksikan oleh petugas pos atau petugas PJT.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(6)</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Kiriman sebagaimana dimaksud pada ayat (1) dapat dikeluarkan setelah dipenuhi kewajiban pabean dan mendapat persetujuan dari Pejabat Bea dan Cukai.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26</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Pejabat Bea dan Cukai menetapkan tarif dan nilai pabean serta menghitung bea masuk dan pajak dalam rangka impor yang wajib dilunasi atas Barang Kiriman melalui pos.</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Kiriman melalui pos yang telah ditetapkan tarif dan nilai pabeannya sebagaimana dimaksud pada ayat (1), diserahkan kepada penerima Barang Kiriman melalui pos setelah bea masuk dan pajak dalam rangka impor dilunasi.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27</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Penyelesaian impor Barang Kiriman melalui pos dilakukan oleh PT. Pos Indonesia (Persero) dan Direktorat Jenderal Bea dan Cukai.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Penyelesaian sebagaimana dimaksud pada ayat (1) meliputi penanganan kantung pos, pelalubeaan serta pengawasannya.</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28</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PJT yang akan melaksanakan kegiatan impor Barang Kiriman harus mengajukan permohonan kepada Kepala Kantor Pabean sesuai contoh format sebagaimana tercantum dalam Lampiran IV Peraturan Menteri Keuangan ini yang merupakan bagian yang tidak terpisahkan dari Peraturan Menteri Keuangan ini.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Atas permohonan sebagaimana dimaksud pada ayat (1), Kepala Kantor Pabean memberikan persetujuan sesuai contoh format sebagaimana tercantum dalam Lampiran V Peraturan Menteri Keuangan ini yang merupakan bagian yang tidak terpisahkan dari Peraturan Menteri Keuangan ini.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PJT dapat melaksanakan kegiatan impor Barang Kiriman setelah menyerahkan/mempertaruhkan jaminan tunai, jaminan bank, atau </w:t>
            </w:r>
            <w:r>
              <w:rPr>
                <w:rFonts w:ascii="Book Antiqua" w:hAnsi="Book Antiqua"/>
                <w:i/>
                <w:iCs/>
              </w:rPr>
              <w:t>customs bond</w:t>
            </w:r>
            <w:r>
              <w:rPr>
                <w:rFonts w:ascii="Book Antiqua" w:hAnsi="Book Antiqua"/>
              </w:rPr>
              <w:t xml:space="preserve"> yang besarnya ditetapkan oleh Kepala Kantor Pabean.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(4)</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Penetapan jaminan sebagaimana dimaksud pada ayat (3), dilakukan dengan memperhatikan jumlah bea masuk dan pajak dalam rangka impor dalam periode penangguhan pembayaran tertentu atas barang kiriman yang diberitahukan oleh PJT.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29</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Barang Kiriman melalui PJT harus memenuhi ketentuan paling berat 100 (seratus) kilogram untuk setiap </w:t>
            </w:r>
            <w:r>
              <w:rPr>
                <w:rFonts w:ascii="Book Antiqua" w:hAnsi="Book Antiqua"/>
                <w:i/>
                <w:iCs/>
              </w:rPr>
              <w:t>House Airway Bill</w:t>
            </w:r>
            <w:r>
              <w:rPr>
                <w:rFonts w:ascii="Book Antiqua" w:hAnsi="Book Antiqua"/>
              </w:rPr>
              <w:t xml:space="preserve"> (AwB) atau </w:t>
            </w:r>
            <w:r>
              <w:rPr>
                <w:rFonts w:ascii="Book Antiqua" w:hAnsi="Book Antiqua"/>
                <w:i/>
                <w:iCs/>
              </w:rPr>
              <w:t>Bill of Lading</w:t>
            </w:r>
            <w:r>
              <w:rPr>
                <w:rFonts w:ascii="Book Antiqua" w:hAnsi="Book Antiqua"/>
              </w:rPr>
              <w:t xml:space="preserve"> (B/L).</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Pengecualian dari ketentuan mengenai Barang Kiriman sebagaimana dimaksud pada ayat (1) dapat diberikan terhadap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a.</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Kiriman untuk tujuan tempat penimbunan berikat; atau</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w:t>
            </w:r>
          </w:p>
        </w:tc>
        <w:tc>
          <w:tcPr>
            <w:tcW w:w="3700" w:type="pct"/>
            <w:gridSpan w:val="4"/>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Barang Kiriman lainnya yang memperoleh izin dari Direktur Jenderal.</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Atas Barang Kiriman melalui PJT yang tidak memenuhi ketentuan sebagaimana dimaksud pada ayat (1) dan ayat (2) diberlakukan ketentuan umum di bidang impor.</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30</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Pengeluaran Barang Kiriman melalui PJT dilaksanakan setelah diajukan Pemberitahuan Impor Barang Khusus (PIBK).</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Pemberitahuan Impor Barang Khusus (PIBK) sebagaimana dimaksud pada ayat (1) disampaikan ke Kantor Pabean melalui media elektronik atau secara manual.</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Pejabat Bea dan Cukai menetapkan tarif dan nilai pabean serta menghitung bea masuk dan pajak dalam rangka impor yang wajib dilunasi atas Barang Kiriman melalui PJT.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(4)</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Bea masuk dan pajak dalam rangka impor yang terutang wajib dilunasi dalam jangka waktu paling lama 3 (tiga) hari kerja setelah diterbitkannya persetujuan pengeluaran barang.</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31</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Pengeluaran Barang Kiriman melalui PJT untuk tujuan tempat penimbunan berikat berlaku ketentuan mengenai prosedur pemasukan barang ke tempat penimbunan berikat.</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Pengeluaran Barang Kiriman melalui PJT yang terkena ketentuan pembatasan impor, dapat disetujui setelah semua persyaratan impornya dipenuhi.</w:t>
            </w:r>
          </w:p>
        </w:tc>
      </w:tr>
      <w:tr w:rsidR="00877259" w:rsidTr="00906DD5">
        <w:trPr>
          <w:trHeight w:val="87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BAB VII</w:t>
            </w:r>
          </w:p>
          <w:p w:rsidR="00877259" w:rsidRDefault="00877259" w:rsidP="00906DD5">
            <w:pPr>
              <w:pStyle w:val="NormalWeb"/>
              <w:spacing w:before="90" w:beforeAutospacing="0" w:after="90" w:afterAutospacing="0"/>
              <w:jc w:val="center"/>
            </w:pPr>
            <w:r>
              <w:rPr>
                <w:rFonts w:ascii="Book Antiqua" w:hAnsi="Book Antiqua"/>
              </w:rPr>
              <w:t>PENETAPAN TARIF BEA MASUK</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32</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Pejabat Bea dan Cukai menetapkan tarif bea masuk atas impor Barang Pribadi Penumpang, Barang Pribadi Awak Sarana Pengangkut, Barang Pribadi Pelintas Batas, Barang Dagangan, dan Barang Kiriman.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33</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Penetapan tarif bea masuk sebagaimana dimaksud dalam Pasal 32 didasarkan pada tarif bea masuk dari barang bersangkutan.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Dalam hal barang impor sebagaimana dimaksud dalam Pasal 32 lebih dari 3 (tiga) jenis barang, Pejabat Bea dan Cukai menetapkan hanya satu tarif bea masuk berdasarkan tarif barang tertinggi.</w:t>
            </w:r>
          </w:p>
        </w:tc>
      </w:tr>
      <w:tr w:rsidR="00877259" w:rsidTr="00906DD5">
        <w:trPr>
          <w:trHeight w:val="87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 xml:space="preserve">BAB VIII </w:t>
            </w:r>
          </w:p>
          <w:p w:rsidR="00877259" w:rsidRDefault="00877259" w:rsidP="00906DD5">
            <w:pPr>
              <w:pStyle w:val="NormalWeb"/>
              <w:spacing w:before="90" w:beforeAutospacing="0" w:after="90" w:afterAutospacing="0"/>
              <w:jc w:val="center"/>
            </w:pPr>
            <w:r>
              <w:rPr>
                <w:rFonts w:ascii="Book Antiqua" w:hAnsi="Book Antiqua"/>
              </w:rPr>
              <w:t xml:space="preserve">KETENTUAN LAIN-LAIN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 xml:space="preserve">Pasal 34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(1)</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Pengawasan dan pelayanan kepabeanan atas impor barang yang dibawa oleh Penumpang, Awak Sarana Pengangkut, dan Pelintas Batas dilaksanakan di kawasan pabean yang sepenuhnya berada di bawah pengawasan Direktorat Jenderal Bea dan Cukai.</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(2)</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Kawasan pabean sebagaimana dimaksud pada ayat (1) ditetapkan sesuai peraturan perundang-undangan yang mengatur mengenai kawasan pabean.</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hideMark/>
          </w:tcPr>
          <w:p w:rsidR="00877259" w:rsidRDefault="00877259" w:rsidP="00906DD5">
            <w:pPr>
              <w:pStyle w:val="NormalWeb"/>
              <w:spacing w:before="90" w:beforeAutospacing="0" w:after="90" w:afterAutospacing="0"/>
            </w:pPr>
            <w:r>
              <w:rPr>
                <w:rFonts w:ascii="Book Antiqua" w:hAnsi="Book Antiqua"/>
              </w:rPr>
              <w:t>(3)</w:t>
            </w:r>
          </w:p>
        </w:tc>
        <w:tc>
          <w:tcPr>
            <w:tcW w:w="3900" w:type="pct"/>
            <w:gridSpan w:val="5"/>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Pengawasan dan pelayanan kepabeanan atas impor barang yang dibawa oleh Penumpang, Awak Sarana Pengangkut, dan Pelintas Batas dapat dilakukan di tempat lain setelah mendapatkan persetujuan Kepala Kantor Pabean.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35</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Ketentuan mengenai tatacara penyampaian pemberitahuan pabean, pelayanan, dan pengawasan atas impor barang yang dibawa oleh Penumpang, Awak Sarana Pengangkut, Pelintas Batas, dan Barang Kiriman diatur lebih lanjut dengan Peraturan Direktur Jenderal.</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Pasal 36</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Pada saat Peraturan Menteri Keuangan ini mulai berlaku, </w:t>
            </w:r>
            <w:hyperlink r:id="rId20" w:history="1">
              <w:r>
                <w:rPr>
                  <w:rStyle w:val="Hyperlink"/>
                  <w:rFonts w:ascii="Book Antiqua" w:hAnsi="Book Antiqua"/>
                </w:rPr>
                <w:t>Peraturan Menteri Keuangan Nomor 89/PMK.04/2007</w:t>
              </w:r>
            </w:hyperlink>
            <w:r>
              <w:rPr>
                <w:rFonts w:ascii="Book Antiqua" w:hAnsi="Book Antiqua"/>
              </w:rPr>
              <w:t xml:space="preserve"> tentang Impor Barang Pribadi Penumpang, Awak Sarana Pengangkut, Pelintas Batas dan Barang Kiriman, dicabut dan dinyatakan tidak berlaku. </w:t>
            </w:r>
          </w:p>
        </w:tc>
      </w:tr>
      <w:tr w:rsidR="00877259" w:rsidTr="00906DD5">
        <w:trPr>
          <w:trHeight w:val="87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BAB IX</w:t>
            </w:r>
          </w:p>
          <w:p w:rsidR="00877259" w:rsidRDefault="00877259" w:rsidP="00906DD5">
            <w:pPr>
              <w:pStyle w:val="NormalWeb"/>
              <w:spacing w:before="90" w:beforeAutospacing="0" w:after="90" w:afterAutospacing="0"/>
              <w:jc w:val="center"/>
            </w:pPr>
            <w:r>
              <w:rPr>
                <w:rFonts w:ascii="Book Antiqua" w:hAnsi="Book Antiqua"/>
              </w:rPr>
              <w:t xml:space="preserve">KETENTUAN PENUTUP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jc w:val="center"/>
            </w:pPr>
            <w:r>
              <w:rPr>
                <w:rFonts w:ascii="Book Antiqua" w:hAnsi="Book Antiqua"/>
              </w:rPr>
              <w:t xml:space="preserve">Pasal 37 </w:t>
            </w:r>
          </w:p>
        </w:tc>
      </w:tr>
      <w:tr w:rsidR="00877259" w:rsidTr="00906DD5">
        <w:trPr>
          <w:trHeight w:val="7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Peraturan Menteri Keuangan ini mulai berlaku pada tanggal 1 Januari 2011. </w:t>
            </w:r>
          </w:p>
        </w:tc>
      </w:tr>
      <w:tr w:rsidR="00877259" w:rsidTr="00906DD5">
        <w:trPr>
          <w:trHeight w:val="285"/>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7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6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r>
      <w:tr w:rsidR="00877259" w:rsidTr="00906DD5">
        <w:trPr>
          <w:trHeight w:val="10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4100" w:type="pct"/>
            <w:gridSpan w:val="6"/>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Agar setiap orang mengetahuinya, memerintahkan pengundangan Peraturan Menteri Keuangan ini dengan penempatannya dalam Berita Negara Republik Indonesia. </w:t>
            </w:r>
          </w:p>
        </w:tc>
      </w:tr>
      <w:tr w:rsidR="00877259" w:rsidTr="00906DD5">
        <w:trPr>
          <w:trHeight w:val="285"/>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7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6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7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65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Ditetapkan di Jakarta </w:t>
            </w:r>
          </w:p>
        </w:tc>
      </w:tr>
      <w:tr w:rsidR="00877259" w:rsidTr="00906DD5">
        <w:trPr>
          <w:trHeight w:val="7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7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65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pada tanggal 29 Oktober 2010</w:t>
            </w:r>
          </w:p>
        </w:tc>
      </w:tr>
      <w:tr w:rsidR="00877259" w:rsidTr="00906DD5">
        <w:trPr>
          <w:trHeight w:val="480"/>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7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65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MENTERI KEUANGAN,</w:t>
            </w:r>
          </w:p>
        </w:tc>
      </w:tr>
      <w:tr w:rsidR="00877259" w:rsidTr="00906DD5">
        <w:trPr>
          <w:trHeight w:val="285"/>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7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6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r>
      <w:tr w:rsidR="00877259" w:rsidTr="00906DD5">
        <w:trPr>
          <w:trHeight w:val="285"/>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7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6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r>
      <w:tr w:rsidR="00877259" w:rsidTr="00906DD5">
        <w:trPr>
          <w:trHeight w:val="780"/>
          <w:tblCellSpacing w:w="0" w:type="dxa"/>
        </w:trPr>
        <w:tc>
          <w:tcPr>
            <w:tcW w:w="8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2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5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70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c>
          <w:tcPr>
            <w:tcW w:w="165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 xml:space="preserve">AGUS D.W. MARTOWARDOJO </w:t>
            </w:r>
          </w:p>
        </w:tc>
      </w:tr>
      <w:tr w:rsidR="00877259" w:rsidTr="00906DD5">
        <w:trPr>
          <w:trHeight w:val="480"/>
          <w:tblCellSpacing w:w="0" w:type="dxa"/>
        </w:trPr>
        <w:tc>
          <w:tcPr>
            <w:tcW w:w="3350" w:type="pct"/>
            <w:gridSpan w:val="7"/>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Diundangkan di Jakarta</w:t>
            </w:r>
          </w:p>
        </w:tc>
        <w:tc>
          <w:tcPr>
            <w:tcW w:w="165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r>
      <w:tr w:rsidR="00877259" w:rsidTr="00906DD5">
        <w:trPr>
          <w:trHeight w:val="480"/>
          <w:tblCellSpacing w:w="0" w:type="dxa"/>
        </w:trPr>
        <w:tc>
          <w:tcPr>
            <w:tcW w:w="3350" w:type="pct"/>
            <w:gridSpan w:val="7"/>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pada tanggal 29 Oktober 2010</w:t>
            </w:r>
          </w:p>
        </w:tc>
        <w:tc>
          <w:tcPr>
            <w:tcW w:w="165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r>
      <w:tr w:rsidR="00877259" w:rsidTr="00906DD5">
        <w:trPr>
          <w:trHeight w:val="480"/>
          <w:tblCellSpacing w:w="0" w:type="dxa"/>
        </w:trPr>
        <w:tc>
          <w:tcPr>
            <w:tcW w:w="3350" w:type="pct"/>
            <w:gridSpan w:val="7"/>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MENTERI HUKUM DAN HAK ASASI MANUSIA,</w:t>
            </w:r>
          </w:p>
        </w:tc>
        <w:tc>
          <w:tcPr>
            <w:tcW w:w="165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r>
      <w:tr w:rsidR="00877259" w:rsidTr="00906DD5">
        <w:trPr>
          <w:trHeight w:val="285"/>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7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6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r>
      <w:tr w:rsidR="00877259" w:rsidTr="00906DD5">
        <w:trPr>
          <w:trHeight w:val="285"/>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7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6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r>
      <w:tr w:rsidR="00877259" w:rsidTr="00906DD5">
        <w:trPr>
          <w:trHeight w:val="480"/>
          <w:tblCellSpacing w:w="0" w:type="dxa"/>
        </w:trPr>
        <w:tc>
          <w:tcPr>
            <w:tcW w:w="3350" w:type="pct"/>
            <w:gridSpan w:val="7"/>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PATRIALIS AKBAR</w:t>
            </w:r>
          </w:p>
        </w:tc>
        <w:tc>
          <w:tcPr>
            <w:tcW w:w="1650" w:type="pct"/>
            <w:tcBorders>
              <w:top w:val="nil"/>
              <w:left w:val="nil"/>
              <w:bottom w:val="nil"/>
              <w:right w:val="nil"/>
            </w:tcBorders>
            <w:vAlign w:val="center"/>
            <w:hideMark/>
          </w:tcPr>
          <w:p w:rsidR="00877259" w:rsidRDefault="00877259" w:rsidP="00906DD5">
            <w:pPr>
              <w:pStyle w:val="NormalWeb"/>
              <w:spacing w:before="90" w:beforeAutospacing="0" w:after="90" w:afterAutospacing="0"/>
            </w:pPr>
            <w:r>
              <w:t> </w:t>
            </w:r>
          </w:p>
        </w:tc>
      </w:tr>
      <w:tr w:rsidR="00877259" w:rsidTr="00906DD5">
        <w:trPr>
          <w:trHeight w:val="285"/>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7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6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r>
      <w:tr w:rsidR="00877259" w:rsidTr="00906DD5">
        <w:trPr>
          <w:trHeight w:val="285"/>
          <w:tblCellSpacing w:w="0" w:type="dxa"/>
        </w:trPr>
        <w:tc>
          <w:tcPr>
            <w:tcW w:w="8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2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70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c>
          <w:tcPr>
            <w:tcW w:w="1650" w:type="pct"/>
            <w:tcBorders>
              <w:top w:val="nil"/>
              <w:left w:val="nil"/>
              <w:bottom w:val="nil"/>
              <w:right w:val="nil"/>
            </w:tcBorders>
            <w:vAlign w:val="center"/>
            <w:hideMark/>
          </w:tcPr>
          <w:p w:rsidR="00877259" w:rsidRDefault="00877259" w:rsidP="00906DD5">
            <w:pPr>
              <w:rPr>
                <w:rFonts w:eastAsia="Times New Roman"/>
              </w:rPr>
            </w:pPr>
            <w:r>
              <w:rPr>
                <w:rFonts w:eastAsia="Times New Roman"/>
              </w:rPr>
              <w:t> </w:t>
            </w:r>
          </w:p>
        </w:tc>
      </w:tr>
      <w:tr w:rsidR="00877259" w:rsidTr="00906DD5">
        <w:trPr>
          <w:trHeight w:val="480"/>
          <w:tblCellSpacing w:w="0" w:type="dxa"/>
        </w:trPr>
        <w:tc>
          <w:tcPr>
            <w:tcW w:w="5000" w:type="pct"/>
            <w:gridSpan w:val="8"/>
            <w:tcBorders>
              <w:top w:val="nil"/>
              <w:left w:val="nil"/>
              <w:bottom w:val="nil"/>
              <w:right w:val="nil"/>
            </w:tcBorders>
            <w:vAlign w:val="center"/>
            <w:hideMark/>
          </w:tcPr>
          <w:p w:rsidR="00877259" w:rsidRDefault="00877259" w:rsidP="00906DD5">
            <w:pPr>
              <w:pStyle w:val="NormalWeb"/>
              <w:spacing w:before="90" w:beforeAutospacing="0" w:after="90" w:afterAutospacing="0"/>
            </w:pPr>
            <w:r>
              <w:rPr>
                <w:rFonts w:ascii="Book Antiqua" w:hAnsi="Book Antiqua"/>
              </w:rPr>
              <w:t>BERITA NEGARA REPUBLIK INDONESIA TAHUN 2010 NOMOR 530</w:t>
            </w:r>
          </w:p>
        </w:tc>
      </w:tr>
    </w:tbl>
    <w:p w:rsidR="00ED5E49" w:rsidRPr="00DB609C" w:rsidRDefault="00877259" w:rsidP="00877259">
      <w:pPr>
        <w:pStyle w:val="NormalWeb"/>
      </w:pPr>
      <w:hyperlink r:id="rId21" w:history="1">
        <w:r w:rsidRPr="009A2934">
          <w:rPr>
            <w:rStyle w:val="Hyperlink"/>
            <w:rFonts w:ascii="Book Antiqua" w:hAnsi="Book Antiqua"/>
          </w:rPr>
          <w:t>Lampiran ...</w:t>
        </w:r>
      </w:hyperlink>
    </w:p>
    <w:sectPr w:rsidR="00ED5E49" w:rsidRPr="00DB609C" w:rsidSect="00ED5E49">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8D" w:rsidRDefault="00BE678D" w:rsidP="00823279">
      <w:r>
        <w:separator/>
      </w:r>
    </w:p>
  </w:endnote>
  <w:endnote w:type="continuationSeparator" w:id="0">
    <w:p w:rsidR="00BE678D" w:rsidRDefault="00BE678D"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77259" w:rsidP="007433ED">
    <w:pPr>
      <w:pStyle w:val="Footer"/>
      <w:pBdr>
        <w:top w:val="single" w:sz="4" w:space="1" w:color="auto"/>
      </w:pBdr>
      <w:tabs>
        <w:tab w:val="right" w:pos="8505"/>
      </w:tabs>
      <w:jc w:val="right"/>
      <w:rPr>
        <w:szCs w:val="18"/>
      </w:rPr>
    </w:pPr>
    <w:r>
      <w:rPr>
        <w:noProof/>
        <w:szCs w:val="18"/>
        <w:lang w:eastAsia="id-ID"/>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BE678D" w:rsidP="00823279">
                          <w:pPr>
                            <w:tabs>
                              <w:tab w:val="right" w:pos="14742"/>
                            </w:tabs>
                            <w:rPr>
                              <w:rFonts w:ascii="Cambria" w:hAnsi="Cambria"/>
                              <w:i/>
                              <w:iCs/>
                              <w:sz w:val="20"/>
                            </w:rPr>
                          </w:pPr>
                          <w:r>
                            <w:fldChar w:fldCharType="begin"/>
                          </w:r>
                          <w:r>
                            <w:instrText xml:space="preserve"> FILENAME \p  \* MERGEFORMAT </w:instrText>
                          </w:r>
                          <w:r>
                            <w:fldChar w:fldCharType="separate"/>
                          </w:r>
                          <w:r w:rsidR="003A55B1" w:rsidRPr="003A55B1">
                            <w:rPr>
                              <w:rFonts w:ascii="Cambria" w:hAnsi="Cambria"/>
                              <w:i/>
                              <w:iCs/>
                              <w:noProof/>
                              <w:sz w:val="20"/>
                            </w:rPr>
                            <w:t>D:\My Documents</w:t>
                          </w:r>
                          <w:r w:rsidR="003A55B1" w:rsidRPr="003A55B1">
                            <w:rPr>
                              <w:rFonts w:ascii="Cambria" w:hAnsi="Cambria"/>
                              <w:i/>
                              <w:noProof/>
                              <w:sz w:val="20"/>
                            </w:rPr>
                            <w:t>\luk.staff.ugm.ac.id\atur\SKDirjen2705-D-T-1998SyaratPimpinanPTS.docx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3A55B1" w:rsidRPr="003A55B1">
                            <w:rPr>
                              <w:rFonts w:ascii="Cambria" w:hAnsi="Cambria"/>
                              <w:i/>
                              <w:iCs/>
                              <w:noProof/>
                              <w:sz w:val="20"/>
                            </w:rPr>
                            <w:t>30</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877259">
                            <w:rPr>
                              <w:rFonts w:ascii="Cambria" w:hAnsi="Cambria"/>
                              <w:i/>
                              <w:iCs/>
                              <w:noProof/>
                              <w:sz w:val="20"/>
                            </w:rPr>
                            <w:t>Kamis, 20 Mei 2010</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823279" w:rsidRPr="005A342B" w:rsidRDefault="00BE678D" w:rsidP="00823279">
                    <w:pPr>
                      <w:tabs>
                        <w:tab w:val="right" w:pos="14742"/>
                      </w:tabs>
                      <w:rPr>
                        <w:rFonts w:ascii="Cambria" w:hAnsi="Cambria"/>
                        <w:i/>
                        <w:iCs/>
                        <w:sz w:val="20"/>
                      </w:rPr>
                    </w:pPr>
                    <w:r>
                      <w:fldChar w:fldCharType="begin"/>
                    </w:r>
                    <w:r>
                      <w:instrText xml:space="preserve"> FILENAME \p  \* MERGEFORMAT </w:instrText>
                    </w:r>
                    <w:r>
                      <w:fldChar w:fldCharType="separate"/>
                    </w:r>
                    <w:r w:rsidR="003A55B1" w:rsidRPr="003A55B1">
                      <w:rPr>
                        <w:rFonts w:ascii="Cambria" w:hAnsi="Cambria"/>
                        <w:i/>
                        <w:iCs/>
                        <w:noProof/>
                        <w:sz w:val="20"/>
                      </w:rPr>
                      <w:t>D:\My Documents</w:t>
                    </w:r>
                    <w:r w:rsidR="003A55B1" w:rsidRPr="003A55B1">
                      <w:rPr>
                        <w:rFonts w:ascii="Cambria" w:hAnsi="Cambria"/>
                        <w:i/>
                        <w:noProof/>
                        <w:sz w:val="20"/>
                      </w:rPr>
                      <w:t>\luk.staff.ugm.ac.id\atur\SKDirjen2705-D-T-1998SyaratPimpinanPTS.docx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3A55B1" w:rsidRPr="003A55B1">
                      <w:rPr>
                        <w:rFonts w:ascii="Cambria" w:hAnsi="Cambria"/>
                        <w:i/>
                        <w:iCs/>
                        <w:noProof/>
                        <w:sz w:val="20"/>
                      </w:rPr>
                      <w:t>30</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877259">
                      <w:rPr>
                        <w:rFonts w:ascii="Cambria" w:hAnsi="Cambria"/>
                        <w:i/>
                        <w:iCs/>
                        <w:noProof/>
                        <w:sz w:val="20"/>
                      </w:rPr>
                      <w:t>Kamis, 20 Mei 2010</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BE678D">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8D" w:rsidRDefault="00BE678D" w:rsidP="00823279">
      <w:r>
        <w:separator/>
      </w:r>
    </w:p>
  </w:footnote>
  <w:footnote w:type="continuationSeparator" w:id="0">
    <w:p w:rsidR="00BE678D" w:rsidRDefault="00BE678D"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7259"/>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678D"/>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59"/>
    <w:pPr>
      <w:spacing w:after="0" w:line="240" w:lineRule="auto"/>
    </w:pPr>
    <w:rPr>
      <w:rFonts w:ascii="Times New Roman" w:eastAsiaTheme="minorEastAsia"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customStyle="1" w:styleId="cm12">
    <w:name w:val="cm12"/>
    <w:basedOn w:val="Normal"/>
    <w:rsid w:val="00877259"/>
    <w:pPr>
      <w:autoSpaceDE w:val="0"/>
      <w:autoSpaceDN w:val="0"/>
      <w:spacing w:after="255"/>
    </w:pPr>
    <w:rPr>
      <w:rFonts w:ascii="Book Antiqua" w:hAnsi="Book Antiqua"/>
    </w:rPr>
  </w:style>
  <w:style w:type="paragraph" w:customStyle="1" w:styleId="default">
    <w:name w:val="default"/>
    <w:rsid w:val="00877259"/>
    <w:pPr>
      <w:autoSpaceDE w:val="0"/>
      <w:autoSpaceDN w:val="0"/>
      <w:spacing w:after="0" w:line="240" w:lineRule="auto"/>
    </w:pPr>
    <w:rPr>
      <w:rFonts w:ascii="Book Antiqua" w:eastAsiaTheme="minorEastAsia" w:hAnsi="Book Antiqua" w:cs="Times New Roman"/>
      <w:color w:val="000000"/>
      <w:sz w:val="24"/>
      <w:szCs w:val="24"/>
      <w:lang w:eastAsia="id-ID"/>
    </w:rPr>
  </w:style>
  <w:style w:type="paragraph" w:customStyle="1" w:styleId="cm3">
    <w:name w:val="cm3"/>
    <w:basedOn w:val="Normal"/>
    <w:rsid w:val="00877259"/>
    <w:pPr>
      <w:autoSpaceDE w:val="0"/>
      <w:autoSpaceDN w:val="0"/>
      <w:spacing w:line="298" w:lineRule="atLeast"/>
    </w:pPr>
    <w:rPr>
      <w:rFonts w:ascii="Book Antiqua" w:hAnsi="Book Antiqua"/>
    </w:rPr>
  </w:style>
  <w:style w:type="paragraph" w:styleId="NormalWeb">
    <w:name w:val="Normal (Web)"/>
    <w:basedOn w:val="Normal"/>
    <w:uiPriority w:val="99"/>
    <w:unhideWhenUsed/>
    <w:rsid w:val="00877259"/>
    <w:pPr>
      <w:spacing w:before="100" w:beforeAutospacing="1" w:after="100" w:afterAutospacing="1"/>
    </w:pPr>
  </w:style>
  <w:style w:type="character" w:styleId="Hyperlink">
    <w:name w:val="Hyperlink"/>
    <w:basedOn w:val="DefaultParagraphFont"/>
    <w:uiPriority w:val="99"/>
    <w:unhideWhenUsed/>
    <w:rsid w:val="00877259"/>
    <w:rPr>
      <w:color w:val="0000FF"/>
      <w:u w:val="single"/>
    </w:rPr>
  </w:style>
  <w:style w:type="character" w:styleId="FollowedHyperlink">
    <w:name w:val="FollowedHyperlink"/>
    <w:basedOn w:val="DefaultParagraphFont"/>
    <w:uiPriority w:val="99"/>
    <w:semiHidden/>
    <w:unhideWhenUsed/>
    <w:rsid w:val="00877259"/>
    <w:rPr>
      <w:color w:val="800080"/>
      <w:u w:val="single"/>
    </w:rPr>
  </w:style>
  <w:style w:type="paragraph" w:styleId="BalloonText">
    <w:name w:val="Balloon Text"/>
    <w:basedOn w:val="Normal"/>
    <w:link w:val="BalloonTextChar"/>
    <w:uiPriority w:val="99"/>
    <w:semiHidden/>
    <w:unhideWhenUsed/>
    <w:rsid w:val="00877259"/>
    <w:rPr>
      <w:rFonts w:ascii="Tahoma" w:hAnsi="Tahoma" w:cs="Tahoma"/>
      <w:sz w:val="16"/>
      <w:szCs w:val="16"/>
    </w:rPr>
  </w:style>
  <w:style w:type="character" w:customStyle="1" w:styleId="BalloonTextChar">
    <w:name w:val="Balloon Text Char"/>
    <w:basedOn w:val="DefaultParagraphFont"/>
    <w:link w:val="BalloonText"/>
    <w:uiPriority w:val="99"/>
    <w:semiHidden/>
    <w:rsid w:val="00877259"/>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59"/>
    <w:pPr>
      <w:spacing w:after="0" w:line="240" w:lineRule="auto"/>
    </w:pPr>
    <w:rPr>
      <w:rFonts w:ascii="Times New Roman" w:eastAsiaTheme="minorEastAsia"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customStyle="1" w:styleId="cm12">
    <w:name w:val="cm12"/>
    <w:basedOn w:val="Normal"/>
    <w:rsid w:val="00877259"/>
    <w:pPr>
      <w:autoSpaceDE w:val="0"/>
      <w:autoSpaceDN w:val="0"/>
      <w:spacing w:after="255"/>
    </w:pPr>
    <w:rPr>
      <w:rFonts w:ascii="Book Antiqua" w:hAnsi="Book Antiqua"/>
    </w:rPr>
  </w:style>
  <w:style w:type="paragraph" w:customStyle="1" w:styleId="default">
    <w:name w:val="default"/>
    <w:rsid w:val="00877259"/>
    <w:pPr>
      <w:autoSpaceDE w:val="0"/>
      <w:autoSpaceDN w:val="0"/>
      <w:spacing w:after="0" w:line="240" w:lineRule="auto"/>
    </w:pPr>
    <w:rPr>
      <w:rFonts w:ascii="Book Antiqua" w:eastAsiaTheme="minorEastAsia" w:hAnsi="Book Antiqua" w:cs="Times New Roman"/>
      <w:color w:val="000000"/>
      <w:sz w:val="24"/>
      <w:szCs w:val="24"/>
      <w:lang w:eastAsia="id-ID"/>
    </w:rPr>
  </w:style>
  <w:style w:type="paragraph" w:customStyle="1" w:styleId="cm3">
    <w:name w:val="cm3"/>
    <w:basedOn w:val="Normal"/>
    <w:rsid w:val="00877259"/>
    <w:pPr>
      <w:autoSpaceDE w:val="0"/>
      <w:autoSpaceDN w:val="0"/>
      <w:spacing w:line="298" w:lineRule="atLeast"/>
    </w:pPr>
    <w:rPr>
      <w:rFonts w:ascii="Book Antiqua" w:hAnsi="Book Antiqua"/>
    </w:rPr>
  </w:style>
  <w:style w:type="paragraph" w:styleId="NormalWeb">
    <w:name w:val="Normal (Web)"/>
    <w:basedOn w:val="Normal"/>
    <w:uiPriority w:val="99"/>
    <w:unhideWhenUsed/>
    <w:rsid w:val="00877259"/>
    <w:pPr>
      <w:spacing w:before="100" w:beforeAutospacing="1" w:after="100" w:afterAutospacing="1"/>
    </w:pPr>
  </w:style>
  <w:style w:type="character" w:styleId="Hyperlink">
    <w:name w:val="Hyperlink"/>
    <w:basedOn w:val="DefaultParagraphFont"/>
    <w:uiPriority w:val="99"/>
    <w:unhideWhenUsed/>
    <w:rsid w:val="00877259"/>
    <w:rPr>
      <w:color w:val="0000FF"/>
      <w:u w:val="single"/>
    </w:rPr>
  </w:style>
  <w:style w:type="character" w:styleId="FollowedHyperlink">
    <w:name w:val="FollowedHyperlink"/>
    <w:basedOn w:val="DefaultParagraphFont"/>
    <w:uiPriority w:val="99"/>
    <w:semiHidden/>
    <w:unhideWhenUsed/>
    <w:rsid w:val="00877259"/>
    <w:rPr>
      <w:color w:val="800080"/>
      <w:u w:val="single"/>
    </w:rPr>
  </w:style>
  <w:style w:type="paragraph" w:styleId="BalloonText">
    <w:name w:val="Balloon Text"/>
    <w:basedOn w:val="Normal"/>
    <w:link w:val="BalloonTextChar"/>
    <w:uiPriority w:val="99"/>
    <w:semiHidden/>
    <w:unhideWhenUsed/>
    <w:rsid w:val="00877259"/>
    <w:rPr>
      <w:rFonts w:ascii="Tahoma" w:hAnsi="Tahoma" w:cs="Tahoma"/>
      <w:sz w:val="16"/>
      <w:szCs w:val="16"/>
    </w:rPr>
  </w:style>
  <w:style w:type="character" w:customStyle="1" w:styleId="BalloonTextChar">
    <w:name w:val="Balloon Text Char"/>
    <w:basedOn w:val="DefaultParagraphFont"/>
    <w:link w:val="BalloonText"/>
    <w:uiPriority w:val="99"/>
    <w:semiHidden/>
    <w:rsid w:val="00877259"/>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y%20Documents\luk.tsipil.ugm.ac.id\1983\8TAHUN~1983UU.HTM" TargetMode="External"/><Relationship Id="rId18" Type="http://schemas.openxmlformats.org/officeDocument/2006/relationships/hyperlink" Target="file:///D:\My%20Documents\luk.tsipil.ugm.ac.id\2007\39TAHUN2007UU.htm" TargetMode="External"/><Relationship Id="rId3" Type="http://schemas.microsoft.com/office/2007/relationships/stylesWithEffects" Target="stylesWithEffects.xml"/><Relationship Id="rId21" Type="http://schemas.openxmlformats.org/officeDocument/2006/relationships/hyperlink" Target="http://www.sjdih.depkeu.go.id/fullText/2010/188~PMK.04~2010PerLamp.pdf" TargetMode="External"/><Relationship Id="rId7" Type="http://schemas.openxmlformats.org/officeDocument/2006/relationships/endnotes" Target="endnotes.xml"/><Relationship Id="rId12" Type="http://schemas.openxmlformats.org/officeDocument/2006/relationships/hyperlink" Target="file:///D:\My%20Documents\luk.tsipil.ugm.ac.id\2000\17TAHUN2000UU.htm" TargetMode="External"/><Relationship Id="rId17" Type="http://schemas.openxmlformats.org/officeDocument/2006/relationships/hyperlink" Target="file:///D:\My%20Documents\luk.tsipil.ugm.ac.id\1995\11TAHUN~1995UU.HTM" TargetMode="External"/><Relationship Id="rId2" Type="http://schemas.openxmlformats.org/officeDocument/2006/relationships/styles" Target="styles.xml"/><Relationship Id="rId16" Type="http://schemas.openxmlformats.org/officeDocument/2006/relationships/hyperlink" Target="file:///D:\My%20Documents\luk.tsipil.ugm.ac.id\2006\17TAHUN2006UU.htm" TargetMode="External"/><Relationship Id="rId20" Type="http://schemas.openxmlformats.org/officeDocument/2006/relationships/hyperlink" Target="file:///D:\My%20Documents\luk.tsipil.ugm.ac.id\2007\89~PMK.04~2007Per.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y%20Documents\luk.tsipil.ugm.ac.id\1983\7TAHUN~1983UU.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My%20Documents\luk.tsipil.ugm.ac.id\1995\10TAHUN~1995UU.HTM" TargetMode="External"/><Relationship Id="rId23" Type="http://schemas.openxmlformats.org/officeDocument/2006/relationships/fontTable" Target="fontTable.xml"/><Relationship Id="rId10" Type="http://schemas.openxmlformats.org/officeDocument/2006/relationships/hyperlink" Target="file:///D:\My%20Documents\luk.tsipil.ugm.ac.id\2007\28TAHUN2007UU.htm" TargetMode="External"/><Relationship Id="rId19" Type="http://schemas.openxmlformats.org/officeDocument/2006/relationships/hyperlink" Target="file:///D:\My%20Documents\luk.tsipil.ugm.ac.id\atur\56~PTAHUN2010Kpres.htm" TargetMode="External"/><Relationship Id="rId4" Type="http://schemas.openxmlformats.org/officeDocument/2006/relationships/settings" Target="settings.xml"/><Relationship Id="rId9" Type="http://schemas.openxmlformats.org/officeDocument/2006/relationships/hyperlink" Target="file:///D:\My%20Documents\luk.tsipil.ugm.ac.id\1983\6TAHUN~1983UU.HTM" TargetMode="External"/><Relationship Id="rId14" Type="http://schemas.openxmlformats.org/officeDocument/2006/relationships/hyperlink" Target="file:///D:\My%20Documents\luk.tsipil.ugm.ac.id\2009\42TAHUN2009UU.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34137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2</cp:revision>
  <dcterms:created xsi:type="dcterms:W3CDTF">2010-12-04T22:37:00Z</dcterms:created>
  <dcterms:modified xsi:type="dcterms:W3CDTF">2010-12-04T22:37:00Z</dcterms:modified>
  <cp:category>Produk Hukum</cp:category>
</cp:coreProperties>
</file>